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金融企业会计</w:t>
      </w:r>
      <w:r>
        <w:rPr>
          <w:rFonts w:hint="eastAsia" w:ascii="黑体" w:hAnsi="黑体" w:eastAsia="黑体"/>
          <w:sz w:val="32"/>
          <w:szCs w:val="32"/>
        </w:rPr>
        <w:t>》课程教学大纲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562" w:firstLineChars="200"/>
        <w:jc w:val="left"/>
        <w:textAlignment w:val="auto"/>
        <w:rPr>
          <w:rFonts w:hint="eastAsia" w:hAnsi="宋体" w:eastAsia="黑体" w:cs="宋体"/>
          <w:lang w:val="en-US" w:eastAsia="zh-CN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  <w:r>
        <w:rPr>
          <w:rFonts w:hint="eastAsia" w:hAnsi="宋体" w:eastAsia="黑体" w:cs="宋体"/>
          <w:lang w:val="en-US" w:eastAsia="zh-CN"/>
        </w:rPr>
        <w:t xml:space="preserve"> </w:t>
      </w:r>
    </w:p>
    <w:tbl>
      <w:tblPr>
        <w:tblStyle w:val="8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037"/>
        <w:gridCol w:w="1092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4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57" w:beforeLines="50" w:after="157" w:afterLines="50" w:line="240" w:lineRule="auto"/>
              <w:ind w:left="210" w:hanging="210" w:hangingChars="100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"/>
              </w:rPr>
              <w:t>Accounting of Financial Enterprises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ACCO2012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4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专业选修课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会计、财务管理专业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4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4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张佳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eastAsia="宋体"/>
              </w:rPr>
              <w:t>孟艳琼，《金融企业会计》，武汉理工大学出版社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562" w:firstLineChars="200"/>
        <w:textAlignment w:val="auto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80" w:firstLineChars="200"/>
        <w:textAlignment w:val="auto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20" w:firstLineChars="200"/>
        <w:textAlignment w:val="auto"/>
        <w:rPr>
          <w:rFonts w:hint="eastAsia" w:eastAsia="宋体"/>
        </w:rPr>
      </w:pPr>
      <w:r>
        <w:rPr>
          <w:rFonts w:hint="eastAsia" w:ascii="宋体" w:hAnsi="宋体" w:eastAsia="宋体" w:cs="宋体"/>
        </w:rPr>
        <w:t>在经济全球化快速发展的今天，金融业是承载国家经济高质量发展的主动脉，在整个经济体系中，金融业承担着协调竞争与社会、环境之间融合发展的重要任务</w:t>
      </w:r>
      <w:r>
        <w:rPr>
          <w:rFonts w:hint="eastAsia" w:hAnsi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该课程以金融理论和会计理论作为理论基础，着重研究如何运用会计方法，发挥会计核算与监督作用，会促进金融宏观调控，实现金融业务活动目标，完成金融企业各项职责业务并服务于社会经济而发挥作用。</w:t>
      </w:r>
      <w:r>
        <w:rPr>
          <w:rFonts w:hint="eastAsia" w:eastAsia="宋体"/>
        </w:rPr>
        <w:t>通过本课程的学习，可以帮助学生进一步理解加强金融企业经营管理对会计的要求、企业经营管理思想在会计上的体现，以及高水平会计工作和高质量的会计信息对金融企业经营的预测、决策和分析的重要意义。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80" w:firstLineChars="200"/>
        <w:textAlignment w:val="auto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422" w:firstLineChars="200"/>
        <w:textAlignment w:val="auto"/>
        <w:rPr>
          <w:rFonts w:hint="eastAsia"/>
          <w:lang w:eastAsia="zh-CN"/>
        </w:rPr>
      </w:pPr>
      <w:r>
        <w:rPr>
          <w:rFonts w:hint="eastAsia" w:hAnsi="宋体" w:cs="宋体"/>
          <w:b/>
        </w:rPr>
        <w:t>课程目标1：</w:t>
      </w:r>
      <w:r>
        <w:rPr>
          <w:rFonts w:hint="eastAsia" w:eastAsia="宋体"/>
        </w:rPr>
        <w:t>伴随着金融全球化的深入发展，了解金融企业的构成及各自的特点，了解会计在金融企业整体工作中的地位、作用以及承担的任务</w:t>
      </w:r>
      <w:r>
        <w:rPr>
          <w:rFonts w:hint="eastAsia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420" w:firstLineChars="200"/>
        <w:textAlignment w:val="auto"/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金融企业界定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200"/>
        <w:textAlignment w:val="auto"/>
        <w:rPr>
          <w:rFonts w:hint="default" w:hAnsi="宋体" w:cs="宋体"/>
          <w:lang w:val="en-US" w:eastAsia="zh-CN"/>
        </w:rPr>
      </w:pPr>
      <w:r>
        <w:rPr>
          <w:rFonts w:hAnsi="宋体" w:cs="宋体"/>
        </w:rPr>
        <w:t>1</w:t>
      </w:r>
      <w:r>
        <w:rPr>
          <w:rFonts w:hint="eastAsia" w:hAnsi="宋体" w:cs="宋体"/>
          <w:lang w:eastAsia="zh-CN"/>
        </w:rPr>
        <w:t>.</w:t>
      </w:r>
      <w:r>
        <w:rPr>
          <w:rFonts w:hint="eastAsia" w:hAnsi="宋体" w:cs="宋体"/>
        </w:rPr>
        <w:t>2</w:t>
      </w:r>
      <w:r>
        <w:rPr>
          <w:rFonts w:hint="eastAsia" w:hAnsi="宋体" w:cs="宋体"/>
          <w:lang w:val="en-US" w:eastAsia="zh-CN"/>
        </w:rPr>
        <w:t xml:space="preserve"> 金融企业会计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420" w:firstLineChars="200"/>
        <w:textAlignment w:val="auto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 xml:space="preserve">1.3 </w:t>
      </w:r>
      <w:r>
        <w:rPr>
          <w:rFonts w:hint="eastAsia" w:ascii="宋体" w:hAnsi="宋体" w:eastAsia="宋体" w:cs="宋体"/>
        </w:rPr>
        <w:t>金融企业会计的基本理论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240" w:lineRule="auto"/>
        <w:ind w:left="363" w:leftChars="0"/>
        <w:jc w:val="both"/>
        <w:textAlignment w:val="auto"/>
        <w:rPr>
          <w:rFonts w:hint="eastAsia" w:eastAsia="宋体"/>
        </w:rPr>
      </w:pP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-SA"/>
        </w:rPr>
        <w:t>课程目标2：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0"/>
          <w:lang w:val="en-US" w:eastAsia="zh-CN" w:bidi="ar-SA"/>
        </w:rPr>
        <w:t>掌</w:t>
      </w:r>
      <w:r>
        <w:rPr>
          <w:rFonts w:hint="eastAsia" w:eastAsia="宋体"/>
        </w:rPr>
        <w:t>握</w:t>
      </w:r>
      <w:r>
        <w:rPr>
          <w:rFonts w:hint="eastAsia" w:eastAsia="宋体"/>
          <w:lang w:val="en-US" w:eastAsia="zh-CN"/>
        </w:rPr>
        <w:t>金融企业</w:t>
      </w:r>
      <w:r>
        <w:rPr>
          <w:rFonts w:hint="eastAsia" w:eastAsia="宋体"/>
        </w:rPr>
        <w:t>的会计核算方法以及运用会计核算资料对商业银行的经营状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240" w:lineRule="auto"/>
        <w:ind w:left="363" w:leftChars="0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</w:rPr>
        <w:t>况进行分析，从而具备从事会计核算、金融监管工作的能</w:t>
      </w:r>
      <w:r>
        <w:rPr>
          <w:rFonts w:hint="eastAsia" w:eastAsia="宋体"/>
          <w:lang w:eastAsia="zh-CN"/>
        </w:rPr>
        <w:t>力。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200"/>
        <w:textAlignment w:val="auto"/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 xml:space="preserve">2.1 会计科目             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200"/>
        <w:textAlignment w:val="auto"/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2.2 记账方法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200"/>
        <w:textAlignment w:val="auto"/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 xml:space="preserve">2.3 会计凭证              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200"/>
        <w:textAlignment w:val="auto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 xml:space="preserve">2.4 账务组织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240" w:lineRule="auto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 w:hAnsi="宋体" w:cs="宋体"/>
          <w:b/>
        </w:rPr>
        <w:t>课程目标3：</w:t>
      </w:r>
      <w:r>
        <w:rPr>
          <w:rFonts w:eastAsia="宋体"/>
        </w:rPr>
        <w:t xml:space="preserve"> </w:t>
      </w:r>
      <w:r>
        <w:rPr>
          <w:rFonts w:hint="eastAsia" w:hAnsi="宋体" w:cs="宋体"/>
          <w:b w:val="0"/>
          <w:bCs/>
          <w:kern w:val="2"/>
          <w:sz w:val="21"/>
          <w:szCs w:val="20"/>
          <w:lang w:val="en-US" w:eastAsia="zh-CN" w:bidi="ar-SA"/>
        </w:rPr>
        <w:t>熟练运用</w:t>
      </w:r>
      <w:r>
        <w:rPr>
          <w:rFonts w:hint="eastAsia" w:eastAsia="宋体"/>
        </w:rPr>
        <w:t>商业银行的会计核算方法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能够对商业银行常见业务进行会计处理，</w:t>
      </w:r>
      <w:r>
        <w:rPr>
          <w:rFonts w:hint="eastAsia" w:ascii="宋体" w:hAnsi="宋体" w:eastAsia="宋体" w:cs="宋体"/>
        </w:rPr>
        <w:t>使学生在会计学理论认知水平和创新能力方面得到明显提升</w:t>
      </w:r>
      <w:r>
        <w:rPr>
          <w:rFonts w:hint="eastAsia" w:hAnsi="宋体" w:cs="宋体"/>
          <w:lang w:eastAsia="zh-CN"/>
        </w:rPr>
        <w:t>。</w:t>
      </w:r>
      <w:r>
        <w:rPr>
          <w:rFonts w:hint="eastAsia"/>
          <w:lang w:val="en-US" w:eastAsia="zh-CN"/>
        </w:rPr>
        <w:t>引领学生加强会计精神文化建设，努力做奉献创新精神强，诚信从而增强培养学生的会计职业素养，提升其职业精神素质。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24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 存款业务的核算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3.2 </w:t>
      </w:r>
      <w:r>
        <w:rPr>
          <w:rFonts w:hint="eastAsia" w:ascii="宋体" w:hAnsi="宋体" w:eastAsia="宋体" w:cs="宋体"/>
          <w:sz w:val="21"/>
          <w:szCs w:val="21"/>
        </w:rPr>
        <w:t>联行往来业务的核算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24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3.3</w:t>
      </w:r>
      <w:r>
        <w:rPr>
          <w:rFonts w:hint="eastAsia" w:ascii="宋体" w:hAnsi="宋体" w:eastAsia="宋体" w:cs="宋体"/>
          <w:sz w:val="21"/>
          <w:szCs w:val="21"/>
        </w:rPr>
        <w:t>金融机构往来的核算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24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3.4</w:t>
      </w:r>
      <w:r>
        <w:rPr>
          <w:rFonts w:hint="eastAsia" w:ascii="宋体" w:hAnsi="宋体" w:eastAsia="宋体" w:cs="宋体"/>
          <w:sz w:val="21"/>
          <w:szCs w:val="21"/>
        </w:rPr>
        <w:t>支付结算业务的核算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lang w:val="en-US" w:eastAsia="zh-CN"/>
        </w:rPr>
        <w:t>3.5</w:t>
      </w:r>
      <w:r>
        <w:rPr>
          <w:rFonts w:hint="eastAsia" w:ascii="宋体" w:hAnsi="宋体" w:eastAsia="宋体" w:cs="宋体"/>
          <w:sz w:val="21"/>
          <w:szCs w:val="21"/>
        </w:rPr>
        <w:t>贷款与贴现业务的核算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24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hAnsi="宋体" w:cs="宋体"/>
          <w:sz w:val="21"/>
          <w:szCs w:val="21"/>
          <w:lang w:val="en-US" w:eastAsia="zh-CN"/>
        </w:rPr>
        <w:t>3.6</w:t>
      </w:r>
      <w:r>
        <w:rPr>
          <w:rFonts w:hint="eastAsia" w:ascii="宋体" w:hAnsi="宋体" w:eastAsia="宋体" w:cs="宋体"/>
          <w:sz w:val="21"/>
          <w:szCs w:val="21"/>
        </w:rPr>
        <w:t>外汇业务的核算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textAlignment w:val="auto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22" w:firstLineChars="200"/>
        <w:jc w:val="center"/>
        <w:textAlignment w:val="auto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514"/>
        <w:gridCol w:w="2989"/>
        <w:gridCol w:w="3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29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32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29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金融企业界定</w:t>
            </w:r>
          </w:p>
        </w:tc>
        <w:tc>
          <w:tcPr>
            <w:tcW w:w="32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建立一套完整的知识体系和框架，能够通过常识和科学思维方法进行独立思考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29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金融企业会计</w:t>
            </w:r>
          </w:p>
        </w:tc>
        <w:tc>
          <w:tcPr>
            <w:tcW w:w="32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具有人文和科学素质、社会责任感和会计职业道德和操守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1.3</w:t>
            </w:r>
          </w:p>
        </w:tc>
        <w:tc>
          <w:tcPr>
            <w:tcW w:w="29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hint="eastAsia" w:ascii="宋体" w:hAnsi="宋体" w:eastAsia="宋体" w:cs="宋体"/>
              </w:rPr>
              <w:t>金融企业会计的基本理论</w:t>
            </w:r>
          </w:p>
        </w:tc>
        <w:tc>
          <w:tcPr>
            <w:tcW w:w="32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建立一套完整的知识体系和框架，能够通过常识和科学思维方法进行独立思考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2989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会计科目</w:t>
            </w:r>
          </w:p>
        </w:tc>
        <w:tc>
          <w:tcPr>
            <w:tcW w:w="32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具备利用专业知识分析和解决会计实际问题的基本能力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2989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57" w:beforeLines="50" w:after="157" w:afterLines="50" w:line="240" w:lineRule="auto"/>
              <w:jc w:val="center"/>
              <w:textAlignment w:val="auto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记账方法</w:t>
            </w:r>
          </w:p>
        </w:tc>
        <w:tc>
          <w:tcPr>
            <w:tcW w:w="32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掌握扎实的学科基础知识和专业知识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2.3</w:t>
            </w:r>
          </w:p>
        </w:tc>
        <w:tc>
          <w:tcPr>
            <w:tcW w:w="29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黑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会计凭证</w:t>
            </w:r>
          </w:p>
        </w:tc>
        <w:tc>
          <w:tcPr>
            <w:tcW w:w="32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</w:rPr>
              <w:t>具有人文和科学素质、社会责任感和会计职业道德和操守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2.4</w:t>
            </w:r>
          </w:p>
        </w:tc>
        <w:tc>
          <w:tcPr>
            <w:tcW w:w="2989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57" w:beforeLines="50" w:after="157" w:afterLines="50" w:line="240" w:lineRule="auto"/>
              <w:jc w:val="center"/>
              <w:textAlignment w:val="auto"/>
              <w:rPr>
                <w:rFonts w:ascii="黑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账务组织</w:t>
            </w:r>
          </w:p>
        </w:tc>
        <w:tc>
          <w:tcPr>
            <w:tcW w:w="32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</w:rPr>
              <w:t>建立一套完整的知识体系和框架，能够通过常识和科学思维方法进行独立思考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1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3.1</w:t>
            </w:r>
          </w:p>
        </w:tc>
        <w:tc>
          <w:tcPr>
            <w:tcW w:w="29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>存款业务的核算</w:t>
            </w:r>
          </w:p>
        </w:tc>
        <w:tc>
          <w:tcPr>
            <w:tcW w:w="32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both"/>
              <w:textAlignment w:val="auto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具备利用专业知识分析和解决会计实际问题的基本能力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3.2</w:t>
            </w:r>
          </w:p>
        </w:tc>
        <w:tc>
          <w:tcPr>
            <w:tcW w:w="29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联行往来业务的核算</w:t>
            </w:r>
          </w:p>
        </w:tc>
        <w:tc>
          <w:tcPr>
            <w:tcW w:w="32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both"/>
              <w:textAlignment w:val="auto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具备利用专业知识分析和解决会计实际问题的基本能力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3.3</w:t>
            </w:r>
          </w:p>
        </w:tc>
        <w:tc>
          <w:tcPr>
            <w:tcW w:w="29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金融机构往来的核算</w:t>
            </w:r>
          </w:p>
        </w:tc>
        <w:tc>
          <w:tcPr>
            <w:tcW w:w="32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both"/>
              <w:textAlignment w:val="auto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具备利用专业知识分析和解决会计实际问题的基本能力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3.4</w:t>
            </w:r>
          </w:p>
        </w:tc>
        <w:tc>
          <w:tcPr>
            <w:tcW w:w="29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支付结算业务的核算</w:t>
            </w:r>
          </w:p>
        </w:tc>
        <w:tc>
          <w:tcPr>
            <w:tcW w:w="32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both"/>
              <w:textAlignment w:val="auto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具有创新意识和能力以及学术研究能力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3.5</w:t>
            </w:r>
          </w:p>
        </w:tc>
        <w:tc>
          <w:tcPr>
            <w:tcW w:w="29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贷款与贴现业务的核算</w:t>
            </w:r>
          </w:p>
        </w:tc>
        <w:tc>
          <w:tcPr>
            <w:tcW w:w="32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both"/>
              <w:textAlignment w:val="auto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</w:rPr>
              <w:t>具有较强的沟通能力、团队协作能力和管理决策能力</w:t>
            </w:r>
            <w:r>
              <w:rPr>
                <w:rFonts w:hint="eastAsia" w:hAnsi="宋体" w:cs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 w:cs="宋体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3.6</w:t>
            </w:r>
          </w:p>
        </w:tc>
        <w:tc>
          <w:tcPr>
            <w:tcW w:w="29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外汇业务的核算</w:t>
            </w:r>
          </w:p>
        </w:tc>
        <w:tc>
          <w:tcPr>
            <w:tcW w:w="32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both"/>
              <w:textAlignment w:val="auto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具有自主学习和终身学习的意识，有不断学习和适应发展的能力。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240" w:lineRule="auto"/>
        <w:ind w:firstLine="562" w:firstLineChars="200"/>
        <w:textAlignment w:val="auto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  <w:r>
        <w:rPr>
          <w:rFonts w:hint="eastAsia" w:ascii="宋体" w:hAnsi="宋体" w:eastAsia="宋体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240" w:lineRule="auto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第一章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金融企业会计概论</w:t>
      </w:r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要求掌握金融企业会计的概念、性质和特点；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熟练掌握金融企业会计要素的构成内容；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理解金融企业会计的基本前提和一般原则要求。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</w:rPr>
        <w:t>金融企业的界定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  <w:lang w:val="en-US" w:eastAsia="zh-CN"/>
        </w:rPr>
        <w:t>（2）</w:t>
      </w:r>
      <w:r>
        <w:rPr>
          <w:rFonts w:hint="eastAsia" w:ascii="宋体" w:hAnsi="宋体" w:eastAsia="宋体" w:cs="宋体"/>
        </w:rPr>
        <w:t>金融企业会计的基本理论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0" w:firstLineChars="0"/>
        <w:jc w:val="both"/>
        <w:textAlignment w:val="auto"/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  <w:t>（1）金融企业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0" w:firstLineChars="0"/>
        <w:jc w:val="both"/>
        <w:textAlignment w:val="auto"/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  <w:t>①金融企业的界定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0" w:firstLineChars="0"/>
        <w:jc w:val="both"/>
        <w:textAlignment w:val="auto"/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  <w:t>②金融企业在国民经济中的作用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0" w:firstLineChars="0"/>
        <w:jc w:val="both"/>
        <w:textAlignment w:val="auto"/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  <w:t>③认识商业银行，判断商业银行的业务类型。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0" w:firstLineChars="0"/>
        <w:jc w:val="both"/>
        <w:textAlignment w:val="auto"/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  <w:t>（2）金融企业会计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0" w:firstLineChars="0"/>
        <w:jc w:val="both"/>
        <w:textAlignment w:val="auto"/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  <w:t>①金融企业会计的概念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jc w:val="both"/>
        <w:textAlignment w:val="auto"/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  <w:t>②金融企业会计的特点（区别于其他专业会计的特点）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jc w:val="both"/>
        <w:textAlignment w:val="auto"/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  <w:t>（3）金融企业会计的基本理论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jc w:val="both"/>
        <w:textAlignment w:val="auto"/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  <w:t>①金融企业会计基本假设和会计基础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jc w:val="both"/>
        <w:textAlignment w:val="auto"/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  <w:t>②金融企业会计信息质量要求（结合财务舞弊案）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jc w:val="both"/>
        <w:textAlignment w:val="auto"/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  <w:t>③金融企业会计对象及其要素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讲授、讨论、案例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引领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</w:rPr>
        <w:t>搜集一类金融企业的资料，谈谈金融企业会计与其与一般企业会计有哪些区别和联系。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eastAsia" w:ascii="黑体" w:hAnsi="黑体" w:eastAsia="黑体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第二章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 xml:space="preserve"> 基本核算方法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要求了解商业银行会计科目的分类方法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；（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掌握银行账户的分类和设置原理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掌握借贷记账法在商业银行的应用原理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；（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了解商业银行会计凭证的种类，凭证的填制审核及传递要求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掌握银行会计账簿的种类和核算程序。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320" w:lineRule="exact"/>
        <w:ind w:firstLine="0" w:firstLineChars="0"/>
        <w:jc w:val="both"/>
        <w:textAlignment w:val="auto"/>
        <w:rPr>
          <w:rFonts w:hint="eastAsia" w:ascii="宋体" w:eastAsia="宋体" w:cs="宋体"/>
          <w:color w:val="000000"/>
          <w:sz w:val="21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借贷记账法在商业银行的应用原理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  <w:lang w:val="en-US" w:eastAsia="zh-CN"/>
        </w:rPr>
        <w:t>（2）</w:t>
      </w:r>
      <w:r>
        <w:rPr>
          <w:rFonts w:hint="eastAsia" w:ascii="宋体" w:eastAsia="宋体" w:cs="宋体"/>
          <w:color w:val="000000"/>
          <w:sz w:val="21"/>
          <w:szCs w:val="21"/>
        </w:rPr>
        <w:t>银行会计账簿的种类和核算程序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3.教学内容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会计科目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①会计科目的设置原则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②会计科目的分类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记账方法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①记账方法的概念和种类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②借贷记账法及其运用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③单式记账法及其运用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会计凭证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①会计凭证的种类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②会计凭证的处理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账务组织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①明细核算系统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②综合核算系统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讲授、讨论、比较、案例分析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napToGrid/>
          <w:szCs w:val="24"/>
        </w:rPr>
      </w:pPr>
      <w:r>
        <w:rPr>
          <w:rFonts w:ascii="宋体" w:hAnsi="宋体" w:eastAsia="宋体" w:cs="TimesNewRomanPSMT"/>
          <w:b w:val="0"/>
          <w:bCs w:val="0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 w:val="0"/>
          <w:bCs w:val="0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b w:val="0"/>
          <w:bCs w:val="0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napToGrid/>
          <w:szCs w:val="24"/>
        </w:rPr>
        <w:t>展示商业银行真实的经济业务，带领学生一起分析，并进行会计处理，培养学生具有严谨、规范、细致的会计职业习惯。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存款业务的核算</w:t>
      </w:r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了解商业银行的存款资金划分方法；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掌握各类存款账户的界限、开立条件和使用管理要求；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掌握各类存款日常核算手续及存款账的登记方法；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熟悉结计各项利息的基本规定，掌握存款利息的计算方法和核算手续。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320" w:lineRule="exact"/>
        <w:ind w:firstLine="0" w:firstLineChars="0"/>
        <w:jc w:val="both"/>
        <w:textAlignment w:val="auto"/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eastAsia="宋体" w:cs="宋体" w:hAnsiTheme="minorHAnsi"/>
          <w:color w:val="000000"/>
          <w:kern w:val="2"/>
          <w:sz w:val="21"/>
          <w:szCs w:val="21"/>
          <w:lang w:val="en-US" w:eastAsia="zh-CN" w:bidi="ar-SA"/>
        </w:rPr>
        <w:t>2.教学重难点：（1）结计各项利息的基本规定（2）存款利息的计算方法和核算手续</w:t>
      </w:r>
      <w:r>
        <w:rPr>
          <w:rFonts w:hint="eastAsia" w:ascii="宋体" w:eastAsia="宋体" w:cs="宋体"/>
          <w:color w:val="000000"/>
          <w:kern w:val="2"/>
          <w:sz w:val="21"/>
          <w:szCs w:val="21"/>
          <w:lang w:val="en-US" w:eastAsia="zh-CN" w:bidi="ar-SA"/>
        </w:rPr>
        <w:t>。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before="157" w:beforeLines="50" w:after="157" w:afterLines="50" w:line="320" w:lineRule="exact"/>
        <w:ind w:leftChars="0"/>
        <w:jc w:val="both"/>
        <w:textAlignment w:val="auto"/>
        <w:rPr>
          <w:rFonts w:hint="eastAsia" w:ascii="宋体" w:eastAsia="宋体" w:cs="宋体" w:hAnsiTheme="minorHAnsi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eastAsia="宋体" w:cs="宋体" w:hAnsiTheme="minorHAnsi"/>
          <w:b w:val="0"/>
          <w:bCs/>
          <w:color w:val="000000"/>
          <w:kern w:val="2"/>
          <w:sz w:val="21"/>
          <w:szCs w:val="21"/>
          <w:lang w:val="en-US" w:eastAsia="zh-CN" w:bidi="ar-SA"/>
        </w:rPr>
        <w:t>3.教学内容：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leftChars="0"/>
        <w:jc w:val="both"/>
        <w:textAlignment w:val="auto"/>
        <w:rPr>
          <w:rFonts w:ascii="宋体" w:hAnsi="宋体" w:eastAsia="宋体" w:cs="宋体"/>
          <w:b w:val="0"/>
          <w:snapToGrid/>
          <w:szCs w:val="24"/>
        </w:rPr>
      </w:pPr>
      <w:r>
        <w:rPr>
          <w:rFonts w:hint="eastAsia" w:ascii="宋体" w:eastAsia="宋体" w:cs="宋体" w:hAnsiTheme="minorHAnsi"/>
          <w:b w:val="0"/>
          <w:bCs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hint="eastAsia" w:ascii="宋体" w:hAnsi="宋体" w:eastAsia="宋体" w:cs="宋体"/>
          <w:b w:val="0"/>
          <w:snapToGrid/>
          <w:szCs w:val="24"/>
        </w:rPr>
        <w:t>存款业务概述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b w:val="0"/>
          <w:snapToGrid/>
          <w:szCs w:val="24"/>
        </w:rPr>
      </w:pPr>
      <w:r>
        <w:rPr>
          <w:rFonts w:hint="eastAsia" w:ascii="宋体" w:hAnsi="宋体" w:eastAsia="宋体" w:cs="宋体"/>
          <w:b w:val="0"/>
          <w:snapToGrid/>
          <w:szCs w:val="24"/>
        </w:rPr>
        <w:t>①存款的分类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b w:val="0"/>
          <w:snapToGrid/>
          <w:szCs w:val="24"/>
        </w:rPr>
      </w:pPr>
      <w:r>
        <w:rPr>
          <w:rFonts w:hint="default" w:ascii="宋体" w:hAnsi="宋体" w:eastAsia="宋体" w:cs="宋体"/>
          <w:b w:val="0"/>
          <w:snapToGrid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snapToGrid/>
          <w:szCs w:val="24"/>
        </w:rPr>
        <w:t>银行结算账户的开立与管理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b w:val="0"/>
          <w:snapToGrid/>
          <w:szCs w:val="24"/>
        </w:rPr>
      </w:pPr>
      <w:r>
        <w:rPr>
          <w:rFonts w:hint="eastAsia" w:ascii="宋体" w:hAnsi="宋体" w:eastAsia="宋体" w:cs="宋体"/>
          <w:b w:val="0"/>
          <w:snapToGrid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b w:val="0"/>
          <w:snapToGrid/>
          <w:szCs w:val="24"/>
        </w:rPr>
        <w:t>存款业务会计科目的设置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b w:val="0"/>
          <w:snapToGrid/>
          <w:szCs w:val="24"/>
        </w:rPr>
      </w:pPr>
      <w:r>
        <w:rPr>
          <w:rFonts w:hint="eastAsia" w:ascii="宋体" w:hAnsi="宋体" w:eastAsia="宋体" w:cs="宋体"/>
          <w:b w:val="0"/>
          <w:snapToGrid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snapToGrid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snapToGrid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snapToGrid/>
          <w:szCs w:val="24"/>
        </w:rPr>
        <w:t>单位存款业务的核算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b w:val="0"/>
          <w:snapToGrid/>
          <w:szCs w:val="24"/>
        </w:rPr>
      </w:pPr>
      <w:r>
        <w:rPr>
          <w:rFonts w:hint="eastAsia" w:ascii="宋体" w:hAnsi="宋体" w:eastAsia="宋体" w:cs="宋体"/>
          <w:b w:val="0"/>
          <w:snapToGrid/>
          <w:szCs w:val="24"/>
        </w:rPr>
        <w:t>①单位活期存款的核算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b w:val="0"/>
          <w:snapToGrid/>
          <w:szCs w:val="24"/>
        </w:rPr>
      </w:pPr>
      <w:r>
        <w:rPr>
          <w:rFonts w:hint="eastAsia" w:ascii="宋体" w:hAnsi="宋体" w:eastAsia="宋体" w:cs="宋体"/>
          <w:b w:val="0"/>
          <w:snapToGrid/>
          <w:szCs w:val="24"/>
        </w:rPr>
        <w:t>②单位定期期存款的核算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b w:val="0"/>
          <w:snapToGrid/>
          <w:szCs w:val="24"/>
        </w:rPr>
      </w:pPr>
      <w:r>
        <w:rPr>
          <w:rFonts w:hint="default" w:ascii="宋体" w:hAnsi="宋体" w:eastAsia="宋体" w:cs="宋体"/>
          <w:b w:val="0"/>
          <w:snapToGrid/>
          <w:szCs w:val="24"/>
        </w:rPr>
        <w:t>③</w:t>
      </w:r>
      <w:r>
        <w:rPr>
          <w:rFonts w:hint="eastAsia" w:ascii="宋体" w:hAnsi="宋体" w:eastAsia="宋体" w:cs="宋体"/>
          <w:b w:val="0"/>
          <w:snapToGrid/>
          <w:szCs w:val="24"/>
        </w:rPr>
        <w:t>单位其他存款业务的核算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3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讲授、讨论、情景教学法、案例分析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32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b w:val="0"/>
          <w:bCs w:val="0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 w:val="0"/>
          <w:bCs w:val="0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b w:val="0"/>
          <w:bCs w:val="0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</w:rPr>
        <w:t>模拟练习企业开户，了解开户流程及材料准备。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57" w:beforeLines="50" w:beforeAutospacing="0" w:after="157" w:afterLines="50" w:afterAutospacing="0" w:line="320" w:lineRule="exact"/>
        <w:textAlignment w:val="auto"/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第四章 商业银行系统内往来的核算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了解会计主体行与系统行的往来内容和核算科目；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重点掌握系统行电子汇划的核算原理和手续；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掌握辖内往来的应用范围和核算手续。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20" w:lineRule="exact"/>
        <w:jc w:val="both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商业银行系统内往来与系统内资金清算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（2）系统内资金汇划与清算的核算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商业银行系统内往来与系统内资金清算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 xml:space="preserve">①商业银行系统内往来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②系统内资金清算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系统内资金汇划与清算的核算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①商业银行系统内往来中资金汇划清算系统的业务范围与处理流程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②会计科目的设置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③汇划款项与资金清算的核算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讲授、讨论、</w:t>
      </w:r>
      <w:r>
        <w:rPr>
          <w:rFonts w:hint="eastAsia" w:ascii="宋体" w:hAnsi="宋体" w:eastAsia="宋体"/>
          <w:lang w:eastAsia="zh-CN"/>
        </w:rPr>
        <w:t>情景教学法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、案例分析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TimesNewRomanPSMT"/>
          <w:b w:val="0"/>
          <w:bCs w:val="0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 w:val="0"/>
          <w:bCs w:val="0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b w:val="0"/>
          <w:bCs w:val="0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</w:rPr>
        <w:t>阅读</w:t>
      </w:r>
      <w:r>
        <w:rPr>
          <w:rFonts w:hint="eastAsia" w:ascii="宋体" w:hAnsi="宋体" w:eastAsia="宋体" w:cs="宋体"/>
          <w:b w:val="0"/>
          <w:snapToGrid/>
          <w:szCs w:val="24"/>
        </w:rPr>
        <w:t>系统内资金汇划案例，完成相关银行会计处理</w:t>
      </w:r>
      <w:r>
        <w:rPr>
          <w:rFonts w:hint="eastAsia" w:ascii="宋体" w:hAnsi="宋体" w:eastAsia="宋体" w:cs="宋体"/>
          <w:b w:val="0"/>
          <w:snapToGrid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snapToGrid/>
          <w:szCs w:val="24"/>
          <w:lang w:val="en-US" w:eastAsia="zh-CN"/>
        </w:rPr>
        <w:t>课后熟悉</w:t>
      </w:r>
      <w:r>
        <w:rPr>
          <w:rFonts w:hint="eastAsia" w:ascii="宋体" w:hAnsi="宋体" w:eastAsia="宋体" w:cs="宋体"/>
        </w:rPr>
        <w:t>资金汇划清算系统的业务范围与绘制处理流程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default" w:ascii="黑体" w:hAnsi="黑体" w:eastAsia="黑体" w:cs="Times New Roman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第五章 金融机构往来的核算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57" w:beforeLines="50" w:after="157" w:afterLines="50" w:line="320" w:lineRule="exac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要求了解银行机构往来业务的组织体系、业务种类与基本核算方法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；（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重点掌握同城票据交换的核算原理和手续；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掌握商业银行跨系统转划款业务的种类与核算；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hint="eastAsia" w:ascii="宋体" w:eastAsia="宋体" w:cs="宋体"/>
          <w:color w:val="000000"/>
          <w:sz w:val="21"/>
          <w:szCs w:val="21"/>
        </w:rPr>
        <w:t>熟悉</w:t>
      </w:r>
      <w:r>
        <w:rPr>
          <w:rFonts w:hint="eastAsia" w:ascii="宋体" w:hAnsi="宋体" w:eastAsia="宋体" w:cs="宋体"/>
        </w:rPr>
        <w:t>向中央银行存取现金与缴存存款的核算</w:t>
      </w:r>
      <w:r>
        <w:rPr>
          <w:rFonts w:hint="eastAsia" w:ascii="宋体" w:hAnsi="宋体" w:eastAsia="宋体" w:cs="宋体"/>
          <w:lang w:eastAsia="zh-CN"/>
        </w:rPr>
        <w:t>；（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lang w:val="en-US" w:eastAsia="zh-CN"/>
        </w:rPr>
        <w:t>掌握</w:t>
      </w:r>
      <w:r>
        <w:rPr>
          <w:rFonts w:hint="eastAsia" w:ascii="宋体" w:hAnsi="宋体" w:eastAsia="宋体" w:cs="宋体"/>
        </w:rPr>
        <w:t>再贷款业务的核算</w:t>
      </w:r>
      <w:r>
        <w:rPr>
          <w:rFonts w:hint="eastAsia" w:ascii="宋体" w:hAnsi="宋体" w:eastAsia="宋体" w:cs="宋体"/>
          <w:lang w:eastAsia="zh-CN"/>
        </w:rPr>
        <w:t>；（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lang w:val="en-US" w:eastAsia="zh-CN"/>
        </w:rPr>
        <w:t>掌握</w:t>
      </w:r>
      <w:r>
        <w:rPr>
          <w:rFonts w:hint="eastAsia" w:ascii="宋体" w:hAnsi="宋体" w:eastAsia="宋体" w:cs="宋体"/>
        </w:rPr>
        <w:t>再贴现业务的核算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57" w:beforeLines="50" w:after="157" w:afterLines="50" w:line="320" w:lineRule="exac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同城票据交换的核算原理和手续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；（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</w:rPr>
        <w:t>再贷款业务的核算</w:t>
      </w:r>
      <w:r>
        <w:rPr>
          <w:rFonts w:hint="eastAsia" w:ascii="宋体" w:hAnsi="宋体" w:eastAsia="宋体" w:cs="宋体"/>
          <w:lang w:eastAsia="zh-CN"/>
        </w:rPr>
        <w:t>；（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再贴现业务的核算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57" w:beforeLines="50" w:after="157" w:afterLines="50" w:line="320" w:lineRule="exac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（1）</w:t>
      </w:r>
      <w:r>
        <w:rPr>
          <w:rFonts w:hint="eastAsia" w:ascii="宋体" w:eastAsia="宋体" w:cs="宋体"/>
          <w:color w:val="000000"/>
          <w:sz w:val="21"/>
          <w:szCs w:val="21"/>
        </w:rPr>
        <w:t>向中央银行存取现金与缴存存款的核算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 xml:space="preserve">①商业银行准备金存款账户的开立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②商业银行向人民银行存取款项的账户设置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③</w:t>
      </w:r>
      <w:r>
        <w:rPr>
          <w:rFonts w:hint="eastAsia" w:ascii="宋体" w:eastAsia="宋体" w:cs="宋体"/>
          <w:color w:val="000000"/>
          <w:sz w:val="21"/>
          <w:szCs w:val="21"/>
        </w:rPr>
        <w:t>向央行缴存存款的账户设置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④账务处理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再贷款业务的核算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①再贷款业务的界定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②再贷款业务的核算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再贴现业务的核算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①再贴现业务的界定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 w:ascii="宋体" w:hAnsi="宋体" w:eastAsia="宋体" w:cs="宋体"/>
        </w:rPr>
        <w:t>再贴现业务的核算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讲授、讨论、</w:t>
      </w:r>
      <w:r>
        <w:rPr>
          <w:rFonts w:hint="eastAsia" w:ascii="宋体" w:hAnsi="宋体" w:eastAsia="宋体"/>
          <w:lang w:eastAsia="zh-CN"/>
        </w:rPr>
        <w:t>情景教学法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、案例分析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57" w:beforeLines="50" w:after="157" w:afterLines="50" w:line="320" w:lineRule="exact"/>
        <w:jc w:val="both"/>
        <w:textAlignment w:val="auto"/>
        <w:rPr>
          <w:rFonts w:ascii="宋体" w:hAnsi="宋体" w:eastAsia="宋体" w:cs="宋体"/>
          <w:b w:val="0"/>
          <w:bCs/>
          <w:snapToGrid/>
          <w:szCs w:val="24"/>
        </w:rPr>
      </w:pPr>
      <w:r>
        <w:rPr>
          <w:rFonts w:ascii="宋体" w:hAnsi="宋体" w:eastAsia="宋体" w:cs="TimesNewRomanPSMT"/>
          <w:b w:val="0"/>
          <w:bCs w:val="0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 w:val="0"/>
          <w:bCs w:val="0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b w:val="0"/>
          <w:bCs w:val="0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Cs w:val="24"/>
        </w:rPr>
        <w:t>分析商业银行往来业务</w:t>
      </w:r>
      <w:r>
        <w:rPr>
          <w:rFonts w:hint="eastAsia" w:ascii="宋体" w:hAnsi="宋体" w:eastAsia="宋体" w:cs="宋体"/>
          <w:b w:val="0"/>
          <w:bCs/>
          <w:snapToGrid/>
          <w:szCs w:val="24"/>
        </w:rPr>
        <w:t>，理解</w:t>
      </w:r>
      <w:r>
        <w:rPr>
          <w:rFonts w:hint="eastAsia" w:ascii="宋体" w:hAnsi="宋体" w:eastAsia="宋体" w:cs="宋体"/>
          <w:b w:val="0"/>
          <w:bCs/>
          <w:szCs w:val="24"/>
        </w:rPr>
        <w:t>商业银行作为金融媒介的重要意义</w:t>
      </w:r>
      <w:r>
        <w:rPr>
          <w:rFonts w:hint="eastAsia" w:ascii="宋体" w:hAnsi="宋体" w:eastAsia="宋体" w:cs="宋体"/>
          <w:b w:val="0"/>
          <w:bCs/>
        </w:rPr>
        <w:t>，并且培养学生的会计意识与会计语感，认识到如实反映会计业务的重要性，培养学生的诚实守信的职业操守。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default" w:ascii="黑体" w:hAnsi="黑体" w:eastAsia="黑体" w:cs="Times New Roman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第六章 支付结算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要求了解支付结算的概念、原则和结算方式；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掌握各种结算方式的概念、适用范围和基本规定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及</w:t>
      </w:r>
      <w:r>
        <w:rPr>
          <w:rFonts w:hint="eastAsia" w:ascii="宋体" w:eastAsia="宋体" w:cs="宋体"/>
          <w:color w:val="000000"/>
          <w:sz w:val="21"/>
          <w:szCs w:val="21"/>
        </w:rPr>
        <w:t>基本核算手续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；（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重点掌握银行汇票、支票、汇兑和委托收款、银行卡的核算手续；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熟悉商业汇票承兑、贴现的基本处理手续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320" w:lineRule="exact"/>
        <w:ind w:firstLine="0" w:firstLineChars="0"/>
        <w:jc w:val="both"/>
        <w:textAlignment w:val="auto"/>
        <w:rPr>
          <w:rFonts w:hint="default" w:ascii="宋体" w:eastAsia="宋体" w:cs="宋体"/>
          <w:color w:val="000000"/>
          <w:sz w:val="21"/>
          <w:szCs w:val="21"/>
          <w:lang w:val="en-US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握各种结算方式的概念、适用范围和基本规定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及</w:t>
      </w:r>
      <w:r>
        <w:rPr>
          <w:rFonts w:hint="eastAsia" w:ascii="宋体" w:eastAsia="宋体" w:cs="宋体"/>
          <w:color w:val="000000"/>
          <w:sz w:val="21"/>
          <w:szCs w:val="21"/>
        </w:rPr>
        <w:t>基本核算手续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；（2）票据结算账务处理。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支付结算业务概述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①支付结算的概念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②支付结算的原则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③支付结算的纪律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④支付结算方式的种类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支票业务的核算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①支票的基本规定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②不同情形下支票业务的核算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eastAsia="宋体" w:cs="宋体"/>
          <w:color w:val="000000"/>
          <w:sz w:val="21"/>
          <w:szCs w:val="21"/>
        </w:rPr>
        <w:t>银行本票业务的核算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hint="eastAsia" w:ascii="宋体" w:eastAsia="宋体" w:cs="宋体"/>
          <w:color w:val="000000"/>
          <w:sz w:val="21"/>
          <w:szCs w:val="21"/>
        </w:rPr>
        <w:t>①银行本票的基本规定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 w:ascii="宋体" w:hAnsi="宋体" w:eastAsia="宋体" w:cs="宋体"/>
        </w:rPr>
        <w:t>不同情形下银行本票业务的核算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银行汇票业务的核算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①</w:t>
      </w:r>
      <w:r>
        <w:rPr>
          <w:rFonts w:hint="eastAsia" w:ascii="宋体" w:hAnsi="宋体" w:eastAsia="宋体" w:cs="宋体"/>
        </w:rPr>
        <w:t>银行汇票的基本规定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 w:ascii="宋体" w:hAnsi="宋体" w:eastAsia="宋体" w:cs="宋体"/>
        </w:rPr>
        <w:t>不同情形下银行汇票业务的核算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商业汇票业务的核算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①</w:t>
      </w:r>
      <w:r>
        <w:rPr>
          <w:rFonts w:hint="eastAsia" w:ascii="宋体" w:hAnsi="宋体" w:eastAsia="宋体" w:cs="宋体"/>
        </w:rPr>
        <w:t>商业汇票的概念与基本规定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 w:ascii="宋体" w:hAnsi="宋体" w:eastAsia="宋体" w:cs="宋体"/>
        </w:rPr>
        <w:t>商业承兑汇票的核算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③</w:t>
      </w:r>
      <w:r>
        <w:rPr>
          <w:rFonts w:hint="eastAsia" w:ascii="宋体" w:hAnsi="宋体" w:eastAsia="宋体" w:cs="宋体"/>
        </w:rPr>
        <w:t>银行承兑汇票的核算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汇兑业务的核算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①</w:t>
      </w:r>
      <w:r>
        <w:rPr>
          <w:rFonts w:hint="eastAsia" w:ascii="宋体" w:hAnsi="宋体" w:eastAsia="宋体" w:cs="宋体"/>
        </w:rPr>
        <w:t>汇兑的概念与基本规定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 w:ascii="宋体" w:hAnsi="宋体" w:eastAsia="宋体" w:cs="宋体"/>
        </w:rPr>
        <w:t>信汇的核算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③</w:t>
      </w:r>
      <w:r>
        <w:rPr>
          <w:rFonts w:hint="eastAsia" w:ascii="宋体" w:hAnsi="宋体" w:eastAsia="宋体" w:cs="宋体"/>
        </w:rPr>
        <w:t>电汇的核算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④</w:t>
      </w:r>
      <w:r>
        <w:rPr>
          <w:rFonts w:hint="eastAsia" w:ascii="宋体" w:hAnsi="宋体" w:eastAsia="宋体" w:cs="宋体"/>
        </w:rPr>
        <w:t>退汇的情形与核算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托收承付业务的核算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①</w:t>
      </w:r>
      <w:r>
        <w:rPr>
          <w:rFonts w:hint="eastAsia" w:ascii="宋体" w:hAnsi="宋体" w:eastAsia="宋体" w:cs="宋体"/>
        </w:rPr>
        <w:t>托收承付的基本规定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 w:ascii="宋体" w:hAnsi="宋体" w:eastAsia="宋体" w:cs="宋体"/>
        </w:rPr>
        <w:t>不同情形下托收承付业务的核算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委托收款业务的核算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①</w:t>
      </w:r>
      <w:r>
        <w:rPr>
          <w:rFonts w:hint="eastAsia" w:ascii="宋体" w:hAnsi="宋体" w:eastAsia="宋体" w:cs="宋体"/>
        </w:rPr>
        <w:t xml:space="preserve">委托收款的基本规定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 w:ascii="宋体" w:hAnsi="宋体" w:eastAsia="宋体" w:cs="宋体"/>
        </w:rPr>
        <w:t>不同情形下委托收款业务的核算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③</w:t>
      </w:r>
      <w:r>
        <w:rPr>
          <w:rFonts w:hint="eastAsia" w:ascii="宋体" w:hAnsi="宋体" w:eastAsia="宋体" w:cs="宋体"/>
        </w:rPr>
        <w:t>信用卡的概念和基本规定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①</w:t>
      </w:r>
      <w:r>
        <w:rPr>
          <w:rFonts w:hint="eastAsia" w:ascii="宋体" w:hAnsi="宋体" w:eastAsia="宋体" w:cs="宋体"/>
        </w:rPr>
        <w:t>信用卡的概念、种类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 w:ascii="宋体" w:hAnsi="宋体" w:eastAsia="宋体" w:cs="宋体"/>
        </w:rPr>
        <w:t>信用卡的基本规定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③</w:t>
      </w:r>
      <w:r>
        <w:rPr>
          <w:rFonts w:hint="eastAsia" w:ascii="宋体" w:hAnsi="宋体" w:eastAsia="宋体" w:cs="宋体"/>
        </w:rPr>
        <w:t>不同情形下信用卡业务的核算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讲授、讨论、</w:t>
      </w:r>
      <w:r>
        <w:rPr>
          <w:rFonts w:hint="eastAsia" w:ascii="宋体" w:hAnsi="宋体" w:eastAsia="宋体"/>
          <w:lang w:eastAsia="zh-CN"/>
        </w:rPr>
        <w:t>情景教学法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、案例分析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</w:pPr>
      <w:r>
        <w:rPr>
          <w:rFonts w:ascii="宋体" w:hAnsi="宋体" w:eastAsia="宋体" w:cs="TimesNewRomanPSMT"/>
          <w:b w:val="0"/>
          <w:bCs w:val="0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 w:val="0"/>
          <w:bCs w:val="0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b w:val="0"/>
          <w:bCs w:val="0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b w:val="0"/>
          <w:bCs w:val="0"/>
          <w:color w:val="000000"/>
          <w:kern w:val="0"/>
          <w:szCs w:val="21"/>
          <w:lang w:val="en-US" w:eastAsia="zh-CN"/>
        </w:rPr>
        <w:t>能够</w:t>
      </w:r>
      <w:r>
        <w:rPr>
          <w:rFonts w:hint="eastAsia" w:ascii="宋体" w:hAnsi="宋体" w:eastAsia="宋体" w:cs="宋体"/>
        </w:rPr>
        <w:t>分析商业银行结算方式结算业务的会计事项，完成相关会计处理。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default" w:ascii="黑体" w:hAnsi="黑体" w:eastAsia="黑体" w:cs="Times New Roman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 xml:space="preserve">第七章 贷款与贴现业务的核算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）了解贷款业务的基本分类方法；（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）掌握贷款户开立条件和手续；（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）掌握各项贷款的核算手续，贷款利息计算与核算手续；（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）掌握贷款损失准备的计提范围、比例及呆账贷款核销的处理手续；（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）掌握贴现的核算。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20" w:lineRule="exact"/>
        <w:ind w:firstLine="0" w:firstLineChars="0"/>
        <w:jc w:val="both"/>
        <w:textAlignment w:val="auto"/>
        <w:rPr>
          <w:rFonts w:hint="eastAsia" w:ascii="宋体" w:eastAsia="宋体" w:cs="宋体"/>
          <w:color w:val="000000"/>
          <w:sz w:val="21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）贷款业务及贷款减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值的核算；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）贴现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业务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的核算。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20" w:lineRule="exact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贷款业务概述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①</w:t>
      </w:r>
      <w:r>
        <w:rPr>
          <w:rFonts w:hint="eastAsia" w:ascii="宋体" w:hAnsi="宋体" w:eastAsia="宋体" w:cs="宋体"/>
        </w:rPr>
        <w:t>贷款的意义和种类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 w:ascii="宋体" w:hAnsi="宋体" w:eastAsia="宋体" w:cs="宋体"/>
        </w:rPr>
        <w:t xml:space="preserve">贷款业务会计科目的设置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信用贷款的核算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①</w:t>
      </w:r>
      <w:r>
        <w:rPr>
          <w:rFonts w:hint="eastAsia" w:ascii="宋体" w:hAnsi="宋体" w:eastAsia="宋体" w:cs="宋体"/>
        </w:rPr>
        <w:t xml:space="preserve">信用贷款发放的核算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 w:ascii="宋体" w:hAnsi="宋体" w:eastAsia="宋体" w:cs="宋体"/>
        </w:rPr>
        <w:t>信用贷款的后续计量与核算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③</w:t>
      </w:r>
      <w:r>
        <w:rPr>
          <w:rFonts w:hint="eastAsia" w:ascii="宋体" w:hAnsi="宋体" w:eastAsia="宋体" w:cs="宋体"/>
        </w:rPr>
        <w:t xml:space="preserve">信用贷款收回的核算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担保贷款的核算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①</w:t>
      </w:r>
      <w:r>
        <w:rPr>
          <w:rFonts w:hint="eastAsia" w:ascii="宋体" w:hAnsi="宋体" w:eastAsia="宋体" w:cs="宋体"/>
        </w:rPr>
        <w:t>保证贷款的核算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 w:ascii="宋体" w:hAnsi="宋体" w:eastAsia="宋体" w:cs="宋体"/>
        </w:rPr>
        <w:t>抵押贷款的核算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③</w:t>
      </w:r>
      <w:r>
        <w:rPr>
          <w:rFonts w:hint="eastAsia" w:ascii="宋体" w:hAnsi="宋体" w:eastAsia="宋体" w:cs="宋体"/>
        </w:rPr>
        <w:t>质押贷款的核算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贷款减值的核算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①</w:t>
      </w:r>
      <w:r>
        <w:rPr>
          <w:rFonts w:hint="eastAsia" w:ascii="宋体" w:hAnsi="宋体" w:eastAsia="宋体" w:cs="宋体"/>
        </w:rPr>
        <w:t>贷款损失准备的计提范围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 w:ascii="宋体" w:hAnsi="宋体" w:eastAsia="宋体" w:cs="宋体"/>
        </w:rPr>
        <w:t>贷款减值损失的确认与计量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③</w:t>
      </w:r>
      <w:r>
        <w:rPr>
          <w:rFonts w:hint="eastAsia" w:ascii="宋体" w:hAnsi="宋体" w:eastAsia="宋体" w:cs="宋体"/>
        </w:rPr>
        <w:t>贷款发生减值的核算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票据贴现业务的核算</w:t>
      </w:r>
      <w:r>
        <w:rPr>
          <w:rFonts w:ascii="宋体" w:hAnsi="宋体" w:eastAsia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①</w:t>
      </w:r>
      <w:r>
        <w:rPr>
          <w:rFonts w:hint="eastAsia" w:ascii="宋体" w:hAnsi="宋体" w:eastAsia="宋体" w:cs="宋体"/>
        </w:rPr>
        <w:t xml:space="preserve">会计科目设置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 w:ascii="宋体" w:hAnsi="宋体" w:eastAsia="宋体" w:cs="宋体"/>
        </w:rPr>
        <w:t xml:space="preserve">贴现银行办理贴现的核算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③</w:t>
      </w:r>
      <w:r>
        <w:rPr>
          <w:rFonts w:hint="eastAsia" w:ascii="宋体" w:hAnsi="宋体" w:eastAsia="宋体" w:cs="宋体"/>
        </w:rPr>
        <w:t>贴现汇票到期银行收回票款的核算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讲授、讨论、</w:t>
      </w:r>
      <w:r>
        <w:rPr>
          <w:rFonts w:hint="eastAsia" w:ascii="宋体" w:hAnsi="宋体" w:eastAsia="宋体"/>
          <w:lang w:eastAsia="zh-CN"/>
        </w:rPr>
        <w:t>情景教学法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、案例分析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20" w:lineRule="exact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hd w:val="clear" w:color="auto" w:fill="FFFFFF"/>
        </w:rPr>
      </w:pPr>
      <w:r>
        <w:rPr>
          <w:rFonts w:ascii="宋体" w:hAnsi="宋体" w:eastAsia="宋体" w:cs="TimesNewRomanPSMT"/>
          <w:b w:val="0"/>
          <w:bCs w:val="0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 w:val="0"/>
          <w:bCs w:val="0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b w:val="0"/>
          <w:bCs w:val="0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i w:val="0"/>
          <w:iCs w:val="0"/>
          <w:shd w:val="clear" w:color="auto" w:fill="FFFFFF"/>
        </w:rPr>
        <w:t>分析商业银行扶持中小企业发展的路径以及社会责任的履行情况。通过对其他国家金融企业社会责任现状的透视，找出我国金融企业在承担社会责任方面的问题及原因，以缩小与国外同行领先企业的差距。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default" w:ascii="黑体" w:hAnsi="黑体" w:eastAsia="黑体" w:cs="Times New Roman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第八章  外汇业务的核算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）重点掌握外汇业务类型及外汇买卖的核算；（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）掌握外汇存款业务及外汇贷款业务的核算。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20" w:lineRule="exact"/>
        <w:ind w:firstLine="0" w:firstLineChars="0"/>
        <w:jc w:val="both"/>
        <w:textAlignment w:val="auto"/>
        <w:rPr>
          <w:rFonts w:hint="eastAsia" w:ascii="宋体" w:eastAsia="宋体" w:cs="宋体"/>
          <w:color w:val="000000"/>
          <w:sz w:val="21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</w:rPr>
        <w:t>“货币兑换”科目</w:t>
      </w:r>
      <w:r>
        <w:rPr>
          <w:rFonts w:hint="eastAsia" w:ascii="宋体" w:hAnsi="宋体" w:eastAsia="宋体" w:cs="宋体"/>
          <w:lang w:val="en-US" w:eastAsia="zh-CN"/>
        </w:rPr>
        <w:t>的运用；（2）</w:t>
      </w:r>
      <w:r>
        <w:rPr>
          <w:rFonts w:hint="eastAsia" w:ascii="宋体" w:hAnsi="宋体" w:eastAsia="宋体" w:cs="宋体"/>
        </w:rPr>
        <w:t>套汇</w:t>
      </w:r>
      <w:r>
        <w:rPr>
          <w:rFonts w:hint="eastAsia" w:ascii="宋体" w:hAnsi="宋体" w:eastAsia="宋体" w:cs="宋体"/>
          <w:lang w:val="en-US" w:eastAsia="zh-CN"/>
        </w:rPr>
        <w:t>业务</w:t>
      </w:r>
      <w:r>
        <w:rPr>
          <w:rFonts w:hint="eastAsia" w:ascii="宋体" w:hAnsi="宋体" w:eastAsia="宋体" w:cs="宋体"/>
        </w:rPr>
        <w:t>的核算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20" w:lineRule="exact"/>
        <w:jc w:val="both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外汇业务概述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firstLine="0" w:firstLineChars="0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①</w:t>
      </w:r>
      <w:r>
        <w:rPr>
          <w:rFonts w:hint="eastAsia" w:ascii="宋体" w:hAnsi="宋体" w:eastAsia="宋体" w:cs="宋体"/>
        </w:rPr>
        <w:t>外汇的概念和种类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firstLine="0" w:firstLineChars="0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 w:ascii="宋体" w:hAnsi="宋体" w:eastAsia="宋体" w:cs="宋体"/>
        </w:rPr>
        <w:t>外汇业务核算的基础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外汇买卖的账务组织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firstLine="0" w:firstLineChars="0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①</w:t>
      </w:r>
      <w:r>
        <w:rPr>
          <w:rFonts w:hint="eastAsia" w:ascii="宋体" w:hAnsi="宋体" w:eastAsia="宋体" w:cs="宋体"/>
        </w:rPr>
        <w:t>“货币兑换”科目的设置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firstLine="0" w:firstLineChars="0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 w:ascii="宋体" w:hAnsi="宋体" w:eastAsia="宋体" w:cs="宋体"/>
        </w:rPr>
        <w:t>货币兑换科目凭证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firstLine="0" w:firstLineChars="0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③</w:t>
      </w:r>
      <w:r>
        <w:rPr>
          <w:rFonts w:hint="eastAsia" w:ascii="宋体" w:hAnsi="宋体" w:eastAsia="宋体" w:cs="宋体"/>
        </w:rPr>
        <w:t>货币兑换科目账簿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外汇买卖的核算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firstLine="0" w:firstLineChars="0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①</w:t>
      </w:r>
      <w:r>
        <w:rPr>
          <w:rFonts w:hint="eastAsia" w:ascii="宋体" w:hAnsi="宋体" w:eastAsia="宋体" w:cs="宋体"/>
        </w:rPr>
        <w:t>买入外汇的核算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firstLine="0" w:firstLineChars="0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 w:ascii="宋体" w:hAnsi="宋体" w:eastAsia="宋体" w:cs="宋体"/>
        </w:rPr>
        <w:t>卖出外汇的核算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firstLine="0" w:firstLineChars="0"/>
        <w:textAlignment w:val="auto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③</w:t>
      </w:r>
      <w:r>
        <w:rPr>
          <w:rFonts w:hint="eastAsia" w:ascii="宋体" w:hAnsi="宋体" w:eastAsia="宋体" w:cs="宋体"/>
        </w:rPr>
        <w:t>套汇的核算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讲授、讨论、</w:t>
      </w:r>
      <w:r>
        <w:rPr>
          <w:rFonts w:hint="eastAsia" w:ascii="宋体" w:hAnsi="宋体" w:eastAsia="宋体"/>
          <w:lang w:eastAsia="zh-CN"/>
        </w:rPr>
        <w:t>情景教学法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、案例分析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5.教学评价：、思考人民币国际化背景下商业银行外汇业务战略。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562" w:firstLineChars="200"/>
        <w:jc w:val="left"/>
        <w:textAlignment w:val="auto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jc w:val="center"/>
        <w:textAlignment w:val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9"/>
        <w:tblW w:w="8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2792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金融企业会计概论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57" w:beforeLines="50" w:after="157" w:afterLines="50" w:line="240" w:lineRule="auto"/>
              <w:ind w:right="42" w:rightChars="2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基本核算方法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存款业务的核算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联行往来业务的核算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金融机构往来的核算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支付结算业务的核算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第七章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贷款与贴现业务的核算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第八章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2"/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57" w:beforeLines="50" w:after="157" w:afterLines="50" w:line="240" w:lineRule="auto"/>
              <w:ind w:left="42" w:leftChars="20" w:right="42" w:rightChars="2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外汇业务的核算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562" w:firstLineChars="200"/>
        <w:jc w:val="left"/>
        <w:textAlignment w:val="auto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  <w:r>
        <w:rPr>
          <w:rFonts w:hint="eastAsia" w:ascii="宋体" w:hAnsi="宋体" w:eastAsia="宋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jc w:val="center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  <w:r>
        <w:rPr>
          <w:rFonts w:hint="eastAsia" w:ascii="宋体" w:hAnsi="宋体" w:eastAsia="宋体"/>
          <w:szCs w:val="21"/>
          <w:lang w:val="en-US" w:eastAsia="zh-CN"/>
        </w:rPr>
        <w:t xml:space="preserve"> </w:t>
      </w:r>
    </w:p>
    <w:tbl>
      <w:tblPr>
        <w:tblStyle w:val="9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76"/>
        <w:gridCol w:w="873"/>
        <w:gridCol w:w="2935"/>
        <w:gridCol w:w="785"/>
        <w:gridCol w:w="1647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提要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时数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金融企业会计概论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金融企业会计的概念、性质和特点；金融企业会计要素的构成内容；金融企业会计的基本前提和一般原则要求。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比较</w:t>
            </w:r>
            <w:r>
              <w:rPr>
                <w:rFonts w:hint="eastAsia" w:ascii="宋体" w:hAnsi="宋体" w:eastAsia="宋体" w:cs="宋体"/>
              </w:rPr>
              <w:t>金融企业会计与其与一般企业会计有哪些区别和联系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。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-3</w:t>
            </w:r>
          </w:p>
        </w:tc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基本核算方法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0" w:firstLineChars="0"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商业银行会计科目的分类方法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银行账户的分类和设置原理借贷记账法在商业银行的应用原理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商业银行会计凭证的种类，凭证的填制审核及传递要求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银行会计账簿的种类和核算程序。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szCs w:val="24"/>
                <w:lang w:val="en-US" w:eastAsia="zh-CN"/>
              </w:rPr>
              <w:t>搜集</w:t>
            </w:r>
            <w:r>
              <w:rPr>
                <w:rFonts w:hint="eastAsia" w:ascii="宋体" w:hAnsi="宋体" w:eastAsia="宋体" w:cs="宋体"/>
                <w:b w:val="0"/>
                <w:snapToGrid/>
                <w:szCs w:val="24"/>
              </w:rPr>
              <w:t>真实凭证账簿，感受真实的商业银行会计处理流程</w:t>
            </w:r>
            <w:r>
              <w:rPr>
                <w:rFonts w:hint="eastAsia" w:ascii="宋体" w:hAnsi="宋体" w:eastAsia="宋体" w:cs="宋体"/>
                <w:b w:val="0"/>
                <w:snapToGrid/>
                <w:szCs w:val="24"/>
                <w:lang w:eastAsia="zh-CN"/>
              </w:rPr>
              <w:t>。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存款业务的核算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0" w:firstLineChars="0"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商业银行的存款资金划分方法；各类存款账户的界限、开立条件和使用管理要求；各类存款日常核算手续及存款账的登记方法；结计各项利息的基本规定，和核算手续。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64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57" w:beforeLines="50" w:after="157" w:afterLines="5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练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2"/>
                <w:sz w:val="21"/>
                <w:szCs w:val="21"/>
                <w:lang w:val="en-US" w:eastAsia="zh-CN" w:bidi="ar-SA"/>
              </w:rPr>
              <w:t>习企业开户，完成相存款业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szCs w:val="24"/>
                <w:lang w:val="en-US" w:eastAsia="zh-CN"/>
              </w:rPr>
              <w:t>务的会计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szCs w:val="24"/>
              </w:rPr>
              <w:t>处理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商业银行系统内往来的核算</w:t>
            </w:r>
          </w:p>
        </w:tc>
        <w:tc>
          <w:tcPr>
            <w:tcW w:w="29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lef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会计主体行与系统行的往来内容和核算科目；系统行电子汇划的核算原理和手续；辖内往来的应用范围和核算手续。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57" w:beforeLines="50" w:after="157" w:afterLines="50" w:line="240" w:lineRule="auto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阅读</w:t>
            </w:r>
            <w:r>
              <w:rPr>
                <w:rFonts w:hint="eastAsia" w:ascii="宋体" w:hAnsi="宋体" w:eastAsia="宋体" w:cs="宋体"/>
                <w:b w:val="0"/>
                <w:snapToGrid/>
                <w:szCs w:val="24"/>
              </w:rPr>
              <w:t>系统内资金汇划案例，完成相关银行会计处理</w:t>
            </w:r>
            <w:r>
              <w:rPr>
                <w:rFonts w:hint="eastAsia" w:ascii="宋体" w:hAnsi="宋体" w:eastAsia="宋体" w:cs="宋体"/>
                <w:b w:val="0"/>
                <w:snapToGrid/>
                <w:szCs w:val="24"/>
                <w:lang w:eastAsia="zh-CN"/>
              </w:rPr>
              <w:t>。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7-9</w:t>
            </w:r>
          </w:p>
        </w:tc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金融机构往来的核算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银行机构往来业务的组织体系、业务种类与基本核算方法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同城票据交换的核算原理和手续；商业银行跨系统转划款业务的种类与核算；</w:t>
            </w:r>
            <w:r>
              <w:rPr>
                <w:rFonts w:hint="eastAsia" w:ascii="宋体" w:hAnsi="宋体" w:eastAsia="宋体" w:cs="宋体"/>
              </w:rPr>
              <w:t>向中央银行存取现金与缴存存款的核算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>再贷款业务的核算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>再贴现业务的核算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分析商业银行往来的会计事项，完成相关会计处理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9-12</w:t>
            </w:r>
          </w:p>
        </w:tc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支付结算业务的核算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0" w:firstLineChars="0"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支付结算的概念、原则和结算方式；各种结算方式的概念、适用范围和基本规定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基本核算手续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模拟真实的金融企业，增加实训演示，进行支付结算业务实训练习。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13-15</w:t>
            </w:r>
          </w:p>
        </w:tc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贷款与贴现业务的核算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贷款业务的基本分类方法；贷款户开立条件和手续；贷款的核算手续，贷款利息计算与核算手续；款损失准备的计提范围、比例及呆账贷款核销的处理手续；贴现的核算。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模拟真实的金融企业，增加实训演示，进行贷款与贴现业务实训练习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16-17</w:t>
            </w:r>
          </w:p>
        </w:tc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外汇业务的核算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0" w:firstLineChars="0"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外汇业务类型及外汇买卖的核算；外汇存款业务及外汇贷款业务的核算。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分析商业银行外汇业务的会计事项，完成相关会计处理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18</w:t>
            </w:r>
          </w:p>
        </w:tc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lang w:eastAsia="zh-CN"/>
              </w:rPr>
              <w:t>考试周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562" w:firstLineChars="200"/>
        <w:jc w:val="left"/>
        <w:textAlignment w:val="auto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57" w:beforeLines="50" w:after="157" w:afterLines="50" w:line="240" w:lineRule="auto"/>
        <w:jc w:val="both"/>
        <w:textAlignment w:val="auto"/>
        <w:rPr>
          <w:rFonts w:eastAsia="宋体"/>
        </w:rPr>
      </w:pPr>
      <w:r>
        <w:rPr>
          <w:rFonts w:eastAsia="宋体"/>
          <w:b/>
          <w:bCs/>
        </w:rPr>
        <w:t>教材</w:t>
      </w:r>
      <w:r>
        <w:rPr>
          <w:rFonts w:eastAsia="宋体"/>
        </w:rPr>
        <w:t>：</w:t>
      </w:r>
      <w:r>
        <w:rPr>
          <w:rFonts w:hint="eastAsia" w:eastAsia="宋体"/>
        </w:rPr>
        <w:t>孟艳琼，《金融企业会计》，武汉理工大学出版社，2020年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57" w:beforeLines="50" w:after="157" w:afterLines="50" w:line="240" w:lineRule="auto"/>
        <w:jc w:val="both"/>
        <w:textAlignment w:val="auto"/>
        <w:rPr>
          <w:rFonts w:eastAsia="宋体"/>
        </w:rPr>
      </w:pPr>
      <w:r>
        <w:rPr>
          <w:rFonts w:eastAsia="宋体"/>
          <w:b/>
          <w:bCs/>
        </w:rPr>
        <w:t>材料</w:t>
      </w:r>
      <w:r>
        <w:rPr>
          <w:rFonts w:eastAsia="宋体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57" w:beforeLines="50" w:after="157" w:afterLines="50" w:line="240" w:lineRule="auto"/>
        <w:jc w:val="both"/>
        <w:textAlignment w:val="auto"/>
        <w:rPr>
          <w:rFonts w:eastAsia="宋体"/>
        </w:rPr>
      </w:pPr>
      <w:r>
        <w:rPr>
          <w:rFonts w:hint="eastAsia" w:eastAsia="宋体"/>
        </w:rPr>
        <w:t>（1）课程大纲包括每节课的必读和选读内容，可以通过互联网和知网免费获得。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57" w:beforeLines="50" w:after="157" w:afterLines="50" w:line="240" w:lineRule="auto"/>
        <w:jc w:val="both"/>
        <w:textAlignment w:val="auto"/>
        <w:rPr>
          <w:rFonts w:eastAsia="宋体"/>
        </w:rPr>
      </w:pPr>
      <w:r>
        <w:rPr>
          <w:rFonts w:hint="eastAsia" w:eastAsia="宋体"/>
        </w:rPr>
        <w:t>（2）案例分析主要来源于中国当前发生的时事热点事件。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562" w:firstLineChars="200"/>
        <w:jc w:val="left"/>
        <w:textAlignment w:val="auto"/>
        <w:rPr>
          <w:rFonts w:hint="eastAsia" w:ascii="宋体" w:hAnsi="宋体" w:eastAsia="黑体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  <w:r>
        <w:rPr>
          <w:rFonts w:hint="eastAsia" w:ascii="宋体" w:hAnsi="宋体" w:eastAsia="宋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1．</w:t>
      </w:r>
      <w:r>
        <w:rPr>
          <w:rFonts w:hint="eastAsia" w:ascii="宋体" w:hAnsi="宋体" w:eastAsia="宋体"/>
          <w:lang w:eastAsia="zh-CN"/>
        </w:rPr>
        <w:t>讲授法：理论讲授，主要教学方法，贯穿教学全过程。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2．</w:t>
      </w:r>
      <w:r>
        <w:rPr>
          <w:rFonts w:hint="eastAsia" w:ascii="宋体" w:hAnsi="宋体" w:eastAsia="宋体"/>
          <w:lang w:eastAsia="zh-CN"/>
        </w:rPr>
        <w:t>讨论法：对本门课程的主要内容，采用问题形式，在师生和学生之间展开讨论。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 比较法：通过比较不同研究方式、研究方法等，深化学生对相关知识点的认识。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4. 举例法：通过举例，强化学生对相关知识点的认识。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5. 案例分析法：通过案例解读、案例问题回答，提高学生理论知识运用能力。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20" w:firstLineChars="200"/>
        <w:jc w:val="left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6. </w:t>
      </w:r>
      <w:r>
        <w:rPr>
          <w:rFonts w:hint="eastAsia" w:ascii="宋体" w:hAnsi="宋体" w:eastAsia="宋体"/>
          <w:lang w:eastAsia="zh-CN"/>
        </w:rPr>
        <w:t>情景教学法：是将本课程的教学过程安置在一个模拟的、特定的情场合之中。通过教师的组织、学生的演练，在仿真提炼、愉悦宽松的场景中达到教学目标，既锻炼了学生的临场应变、实景操作的能力。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jc w:val="left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jc w:val="left"/>
        <w:textAlignment w:val="auto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ascii="宋体" w:hAnsi="宋体" w:eastAsia="宋体"/>
        </w:rPr>
        <w:t xml:space="preserve">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  <w:r>
        <w:rPr>
          <w:rFonts w:hint="eastAsia" w:ascii="宋体" w:hAnsi="宋体" w:eastAsia="宋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82" w:firstLineChars="20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  <w:r>
        <w:rPr>
          <w:rFonts w:hint="eastAsia" w:ascii="宋体" w:hAnsi="宋体" w:eastAsia="宋体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jc w:val="center"/>
        <w:textAlignment w:val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  <w:r>
        <w:rPr>
          <w:rFonts w:hint="eastAsia" w:ascii="宋体" w:hAnsi="宋体" w:eastAsia="宋体"/>
          <w:szCs w:val="21"/>
          <w:lang w:val="en-US" w:eastAsia="zh-CN"/>
        </w:rPr>
        <w:t xml:space="preserve"> </w:t>
      </w:r>
    </w:p>
    <w:tbl>
      <w:tblPr>
        <w:tblStyle w:val="8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hAnsi="宋体" w:eastAsia="宋体"/>
                <w:b w:val="0"/>
                <w:bCs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lang w:val="en-US" w:eastAsia="zh-CN"/>
              </w:rPr>
              <w:t>金融企业会计基本理论</w:t>
            </w:r>
          </w:p>
        </w:tc>
        <w:tc>
          <w:tcPr>
            <w:tcW w:w="284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center"/>
              <w:textAlignment w:val="auto"/>
              <w:outlineLvl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1.课堂交流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center"/>
              <w:textAlignment w:val="auto"/>
              <w:outlineLvl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2.课后作业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center"/>
              <w:textAlignment w:val="auto"/>
              <w:outlineLvl w:val="0"/>
              <w:rPr>
                <w:rFonts w:hAnsi="宋体"/>
                <w:b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hAnsi="宋体" w:eastAsia="宋体"/>
                <w:b w:val="0"/>
                <w:bCs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lang w:val="en-US" w:eastAsia="zh-CN"/>
              </w:rPr>
              <w:t>金融企业会计核算方法</w:t>
            </w:r>
          </w:p>
        </w:tc>
        <w:tc>
          <w:tcPr>
            <w:tcW w:w="284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center"/>
              <w:textAlignment w:val="auto"/>
              <w:outlineLvl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1.课堂交流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center"/>
              <w:textAlignment w:val="auto"/>
              <w:outlineLvl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2.课后作业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center"/>
              <w:textAlignment w:val="auto"/>
              <w:outlineLvl w:val="0"/>
              <w:rPr>
                <w:rFonts w:hAnsi="宋体"/>
                <w:b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hAnsi="宋体" w:eastAsia="宋体"/>
                <w:b w:val="0"/>
                <w:bCs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lang w:val="en-US" w:eastAsia="zh-CN"/>
              </w:rPr>
              <w:t>实务：商业银行业务核算</w:t>
            </w:r>
          </w:p>
        </w:tc>
        <w:tc>
          <w:tcPr>
            <w:tcW w:w="284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center"/>
              <w:textAlignment w:val="auto"/>
              <w:outlineLvl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1.课堂交流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center"/>
              <w:textAlignment w:val="auto"/>
              <w:outlineLvl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2.课后作业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center"/>
              <w:textAlignment w:val="auto"/>
              <w:outlineLvl w:val="0"/>
              <w:rPr>
                <w:rFonts w:hAnsi="宋体"/>
                <w:b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3.期末考试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82" w:firstLineChars="20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  <w:r>
        <w:rPr>
          <w:rFonts w:hint="eastAsia" w:ascii="宋体" w:hAnsi="宋体" w:eastAsia="宋体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60" w:lineRule="auto"/>
        <w:ind w:firstLine="422" w:firstLineChars="200"/>
        <w:jc w:val="left"/>
        <w:textAlignment w:val="auto"/>
        <w:rPr>
          <w:rFonts w:hint="eastAsia" w:ascii="黑体" w:hAnsi="黑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</w:rPr>
        <w:t xml:space="preserve">1．评定方法 </w:t>
      </w:r>
      <w:r>
        <w:rPr>
          <w:rFonts w:hint="eastAsia" w:ascii="宋体" w:hAnsi="宋体" w:eastAsia="宋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60" w:lineRule="auto"/>
        <w:ind w:firstLine="420" w:firstLineChars="200"/>
        <w:jc w:val="left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val="en-US" w:eastAsia="zh-CN"/>
        </w:rPr>
        <w:t>平</w:t>
      </w:r>
      <w:r>
        <w:rPr>
          <w:rFonts w:hint="eastAsia" w:ascii="宋体" w:hAnsi="宋体" w:eastAsia="宋体"/>
        </w:rPr>
        <w:t>时成绩</w:t>
      </w:r>
      <w:r>
        <w:rPr>
          <w:rFonts w:hint="eastAsia" w:ascii="宋体" w:hAnsi="宋体" w:eastAsia="宋体"/>
          <w:lang w:eastAsia="zh-CN"/>
        </w:rPr>
        <w:t>（含考勤、课堂表现与作业）</w:t>
      </w:r>
      <w:r>
        <w:rPr>
          <w:rFonts w:hint="eastAsia" w:ascii="宋体" w:hAnsi="宋体" w:eastAsia="宋体"/>
          <w:lang w:val="en-US" w:eastAsia="zh-CN"/>
        </w:rPr>
        <w:t>20</w:t>
      </w:r>
      <w:r>
        <w:rPr>
          <w:rFonts w:ascii="宋体" w:hAnsi="宋体" w:eastAsia="宋体"/>
        </w:rPr>
        <w:t>%</w:t>
      </w:r>
      <w:r>
        <w:rPr>
          <w:rFonts w:hint="eastAsia" w:ascii="宋体" w:hAnsi="宋体" w:eastAsia="宋体"/>
        </w:rPr>
        <w:t>，</w:t>
      </w:r>
      <w:r>
        <w:rPr>
          <w:rFonts w:hint="eastAsia" w:ascii="宋体" w:hAnsi="宋体" w:eastAsia="宋体"/>
          <w:lang w:val="en-US" w:eastAsia="zh-CN"/>
        </w:rPr>
        <w:t>实操20</w:t>
      </w:r>
      <w:r>
        <w:rPr>
          <w:rFonts w:ascii="宋体" w:hAnsi="宋体" w:eastAsia="宋体"/>
        </w:rPr>
        <w:t>%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</w:rPr>
        <w:t>期末考试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闭卷。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60" w:lineRule="auto"/>
        <w:ind w:firstLine="422" w:firstLineChars="200"/>
        <w:jc w:val="center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（五号宋体）</w:t>
      </w:r>
    </w:p>
    <w:tbl>
      <w:tblPr>
        <w:tblStyle w:val="8"/>
        <w:tblW w:w="8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880"/>
        <w:gridCol w:w="1163"/>
        <w:gridCol w:w="1163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2177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textAlignment w:val="auto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ind w:firstLine="105" w:firstLineChars="50"/>
              <w:textAlignment w:val="auto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实操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textAlignment w:val="auto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总评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达成度={0.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ｘ平时分目标成绩+0.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分目标成绩 +0.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ｘ期末分目标成绩 }/分目标总分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26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textAlignment w:val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26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textAlignment w:val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82" w:firstLineChars="200"/>
        <w:jc w:val="left"/>
        <w:textAlignment w:val="auto"/>
        <w:rPr>
          <w:rFonts w:hint="eastAsia" w:ascii="黑体" w:hAnsi="黑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82" w:firstLineChars="200"/>
        <w:jc w:val="left"/>
        <w:textAlignment w:val="auto"/>
        <w:rPr>
          <w:rFonts w:hint="eastAsia" w:ascii="黑体" w:hAnsi="黑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82" w:firstLineChars="200"/>
        <w:jc w:val="left"/>
        <w:textAlignment w:val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</w:p>
    <w:tbl>
      <w:tblPr>
        <w:tblStyle w:val="8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非常全面、准确地掌握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金融企业会计基本理论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比较全面、准确地掌握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金融企业会计基本理论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对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金融企业会计基本理论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的掌握较为准确，但不够全面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基本正确地掌握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金融企业会计基本理论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不能正确掌握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金融企业会计基本理论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textAlignment w:val="auto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非常全面、准确地掌握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金融企业会计核算方法及处理流程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比较全面、准确地掌握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金融企业会计核算方法及处理流程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对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金融企业会计核算方法及处理流程的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掌握较为准确，但不够全面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基本正确地掌握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金融企业会计核算方法及处理流程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不能正确掌握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金融企业会计核算方法及处理流程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textAlignment w:val="auto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非常全面、准确地掌握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商业银行常见业务核算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方法，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能够分析</w:t>
            </w:r>
            <w:r>
              <w:rPr>
                <w:rFonts w:hint="eastAsia" w:ascii="宋体" w:hAnsi="宋体" w:eastAsia="宋体" w:cs="宋体"/>
              </w:rPr>
              <w:t>会计事项，完成相关会计处理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比较全面、准确地掌握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商业银行常见业务核算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方法，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能够分析</w:t>
            </w:r>
            <w:r>
              <w:rPr>
                <w:rFonts w:hint="eastAsia" w:ascii="宋体" w:hAnsi="宋体" w:eastAsia="宋体" w:cs="宋体"/>
              </w:rPr>
              <w:t>会计事项，完成相关会计处理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textAlignment w:val="auto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对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商业银行常见业务核算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方法，</w:t>
            </w:r>
            <w:r>
              <w:rPr>
                <w:rFonts w:hint="eastAsia" w:ascii="宋体" w:hAnsi="宋体" w:eastAsia="宋体" w:cs="宋体"/>
              </w:rPr>
              <w:t>会计事项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</w:rPr>
              <w:t>，相关会计处理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的掌握较为准确，但不够全面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基本正确地掌握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商业银行常见业务核算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方法，基本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能够分析</w:t>
            </w:r>
            <w:r>
              <w:rPr>
                <w:rFonts w:hint="eastAsia" w:ascii="宋体" w:hAnsi="宋体" w:eastAsia="宋体" w:cs="宋体"/>
              </w:rPr>
              <w:t>会计事项，完成相关会计处理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240" w:lineRule="auto"/>
              <w:textAlignment w:val="auto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不能正确掌握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商业银行常见业务核算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方法，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不能够分析</w:t>
            </w:r>
            <w:r>
              <w:rPr>
                <w:rFonts w:hint="eastAsia" w:ascii="宋体" w:hAnsi="宋体" w:eastAsia="宋体" w:cs="宋体"/>
              </w:rPr>
              <w:t>会计事项，完成相关会计处理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jc w:val="left"/>
        <w:textAlignment w:val="auto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D3221"/>
    <w:multiLevelType w:val="multilevel"/>
    <w:tmpl w:val="373D3221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2YTA3ZTI0ZGE1ZmJjMTBmNzZjYjkwODllOWE4NzAifQ=="/>
  </w:docVars>
  <w:rsids>
    <w:rsidRoot w:val="001E5724"/>
    <w:rsid w:val="00022CBB"/>
    <w:rsid w:val="00077A5F"/>
    <w:rsid w:val="000A400B"/>
    <w:rsid w:val="000F054A"/>
    <w:rsid w:val="001E5724"/>
    <w:rsid w:val="00242673"/>
    <w:rsid w:val="00285327"/>
    <w:rsid w:val="002A7568"/>
    <w:rsid w:val="00313A87"/>
    <w:rsid w:val="003206BD"/>
    <w:rsid w:val="00322986"/>
    <w:rsid w:val="0034254B"/>
    <w:rsid w:val="0038665C"/>
    <w:rsid w:val="004070CF"/>
    <w:rsid w:val="00443C38"/>
    <w:rsid w:val="005A0378"/>
    <w:rsid w:val="005A6FCB"/>
    <w:rsid w:val="00665621"/>
    <w:rsid w:val="006D367B"/>
    <w:rsid w:val="006E4F82"/>
    <w:rsid w:val="006F64C9"/>
    <w:rsid w:val="007639A2"/>
    <w:rsid w:val="007C379D"/>
    <w:rsid w:val="007C62ED"/>
    <w:rsid w:val="007E39E3"/>
    <w:rsid w:val="008128AD"/>
    <w:rsid w:val="008560E2"/>
    <w:rsid w:val="00886EBF"/>
    <w:rsid w:val="00972FA8"/>
    <w:rsid w:val="009D7163"/>
    <w:rsid w:val="00A03BBD"/>
    <w:rsid w:val="00A61EFD"/>
    <w:rsid w:val="00AA4570"/>
    <w:rsid w:val="00AA630A"/>
    <w:rsid w:val="00AE3D1A"/>
    <w:rsid w:val="00B03909"/>
    <w:rsid w:val="00B10760"/>
    <w:rsid w:val="00B40ECD"/>
    <w:rsid w:val="00B47312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0270686F"/>
    <w:rsid w:val="02E84657"/>
    <w:rsid w:val="03733B80"/>
    <w:rsid w:val="05D9297D"/>
    <w:rsid w:val="0ADD2F10"/>
    <w:rsid w:val="0C0A3890"/>
    <w:rsid w:val="0FA638D0"/>
    <w:rsid w:val="115E3BD8"/>
    <w:rsid w:val="11D64215"/>
    <w:rsid w:val="153674A4"/>
    <w:rsid w:val="197B7B7C"/>
    <w:rsid w:val="1FAC3FA9"/>
    <w:rsid w:val="203171E6"/>
    <w:rsid w:val="2107263D"/>
    <w:rsid w:val="232A511F"/>
    <w:rsid w:val="23FE3883"/>
    <w:rsid w:val="25565941"/>
    <w:rsid w:val="268169ED"/>
    <w:rsid w:val="2D917516"/>
    <w:rsid w:val="301F52AD"/>
    <w:rsid w:val="33AA1331"/>
    <w:rsid w:val="3BC27434"/>
    <w:rsid w:val="3DA70690"/>
    <w:rsid w:val="3EB23790"/>
    <w:rsid w:val="3ECB4852"/>
    <w:rsid w:val="403B1563"/>
    <w:rsid w:val="42DF6B1E"/>
    <w:rsid w:val="43171E14"/>
    <w:rsid w:val="46B04A59"/>
    <w:rsid w:val="47525B10"/>
    <w:rsid w:val="4DC62DB4"/>
    <w:rsid w:val="4EEE27AC"/>
    <w:rsid w:val="56D55E16"/>
    <w:rsid w:val="57A75A04"/>
    <w:rsid w:val="5F9D218D"/>
    <w:rsid w:val="633B34A5"/>
    <w:rsid w:val="67CB3049"/>
    <w:rsid w:val="6D365409"/>
    <w:rsid w:val="6D6C2BD8"/>
    <w:rsid w:val="70585696"/>
    <w:rsid w:val="70BC4600"/>
    <w:rsid w:val="747A6817"/>
    <w:rsid w:val="75D27C98"/>
    <w:rsid w:val="7782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99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纯文本 字符"/>
    <w:basedOn w:val="10"/>
    <w:link w:val="3"/>
    <w:qFormat/>
    <w:uiPriority w:val="99"/>
    <w:rPr>
      <w:rFonts w:ascii="宋体" w:hAnsi="Courier New" w:eastAsia="宋体" w:cs="Times New Roman"/>
      <w:szCs w:val="20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Readings"/>
    <w:basedOn w:val="1"/>
    <w:qFormat/>
    <w:uiPriority w:val="0"/>
    <w:pPr>
      <w:widowControl w:val="0"/>
      <w:tabs>
        <w:tab w:val="left" w:pos="720"/>
        <w:tab w:val="left" w:pos="1440"/>
        <w:tab w:val="left" w:pos="2160"/>
        <w:tab w:val="left" w:pos="2880"/>
      </w:tabs>
    </w:pPr>
    <w:rPr>
      <w:rFonts w:ascii="Garamond" w:hAnsi="Garamond"/>
      <w:b/>
      <w:snapToGrid w:val="0"/>
      <w:szCs w:val="20"/>
    </w:rPr>
  </w:style>
  <w:style w:type="paragraph" w:customStyle="1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12</Pages>
  <Words>6303</Words>
  <Characters>6510</Characters>
  <Lines>13</Lines>
  <Paragraphs>3</Paragraphs>
  <TotalTime>3</TotalTime>
  <ScaleCrop>false</ScaleCrop>
  <LinksUpToDate>false</LinksUpToDate>
  <CharactersWithSpaces>6640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2020-12-08T08:33:00Z</dcterms:created>
  <dc:creator>Windows User</dc:creator>
  <cp:lastModifiedBy>初雪梦境</cp:lastModifiedBy>
  <cp:lastPrinted>2020-12-24T07:17:00Z</cp:lastPrinted>
  <dcterms:modified xsi:type="dcterms:W3CDTF">2023-07-21T06:59:36Z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FB2C36482B784199BD2C27D421E1D77C_12</vt:lpwstr>
  </property>
</Properties>
</file>