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黑体" w:hAnsi="黑体" w:eastAsia="黑体"/>
          <w:sz w:val="32"/>
          <w:szCs w:val="32"/>
        </w:rPr>
      </w:pPr>
      <w:r>
        <w:rPr>
          <w:rFonts w:hint="eastAsia" w:ascii="黑体" w:hAnsi="黑体" w:eastAsia="黑体"/>
          <w:sz w:val="32"/>
          <w:szCs w:val="32"/>
        </w:rPr>
        <w:t>《</w:t>
      </w:r>
      <w:r>
        <w:rPr>
          <w:rFonts w:hint="eastAsia" w:ascii="黑体" w:hAnsi="黑体" w:eastAsia="黑体"/>
          <w:sz w:val="32"/>
          <w:szCs w:val="32"/>
          <w:lang w:val="en-US" w:eastAsia="zh-CN"/>
        </w:rPr>
        <w:t>高级财务会计</w:t>
      </w:r>
      <w:r>
        <w:rPr>
          <w:rFonts w:hint="eastAsia" w:ascii="黑体" w:hAnsi="黑体" w:eastAsia="黑体"/>
          <w:sz w:val="32"/>
          <w:szCs w:val="32"/>
        </w:rPr>
        <w:t>》课程教学大纲</w:t>
      </w:r>
    </w:p>
    <w:p>
      <w:pPr>
        <w:pStyle w:val="2"/>
        <w:spacing w:before="156" w:beforeLines="50" w:after="156" w:afterLines="50"/>
        <w:ind w:firstLine="562" w:firstLineChars="200"/>
        <w:jc w:val="left"/>
        <w:rPr>
          <w:rFonts w:hAnsi="宋体" w:cs="宋体"/>
        </w:rPr>
      </w:pPr>
      <w:r>
        <w:rPr>
          <w:rFonts w:hint="eastAsia" w:ascii="黑体" w:hAnsi="黑体" w:eastAsia="黑体" w:cs="宋体"/>
          <w:b/>
          <w:sz w:val="28"/>
          <w:szCs w:val="28"/>
        </w:rPr>
        <w:t>一、课程基本信息</w:t>
      </w:r>
    </w:p>
    <w:tbl>
      <w:tblPr>
        <w:tblStyle w:val="6"/>
        <w:tblW w:w="8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685"/>
        <w:gridCol w:w="1134"/>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英文名称</w:t>
            </w:r>
          </w:p>
        </w:tc>
        <w:tc>
          <w:tcPr>
            <w:tcW w:w="3685" w:type="dxa"/>
            <w:vAlign w:val="center"/>
          </w:tcPr>
          <w:p>
            <w:pPr>
              <w:spacing w:before="156" w:beforeLines="50" w:after="156" w:afterLines="5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Advanced Financial Accounting </w:t>
            </w:r>
          </w:p>
        </w:tc>
        <w:tc>
          <w:tcPr>
            <w:tcW w:w="1134" w:type="dxa"/>
            <w:vAlign w:val="center"/>
          </w:tcPr>
          <w:p>
            <w:pPr>
              <w:spacing w:before="156" w:beforeLines="50" w:after="156" w:afterLines="50"/>
              <w:jc w:val="center"/>
              <w:rPr>
                <w:rFonts w:hint="eastAsia" w:ascii="宋体" w:hAnsi="宋体" w:eastAsia="宋体" w:cs="宋体"/>
                <w:b/>
                <w:bCs/>
                <w:sz w:val="21"/>
                <w:szCs w:val="21"/>
              </w:rPr>
            </w:pPr>
            <w:r>
              <w:rPr>
                <w:rFonts w:hint="eastAsia" w:ascii="宋体" w:hAnsi="宋体" w:eastAsia="宋体" w:cs="宋体"/>
                <w:b/>
                <w:bCs/>
                <w:sz w:val="21"/>
                <w:szCs w:val="21"/>
              </w:rPr>
              <w:t>课程代码</w:t>
            </w:r>
          </w:p>
        </w:tc>
        <w:tc>
          <w:tcPr>
            <w:tcW w:w="2744" w:type="dxa"/>
            <w:vAlign w:val="center"/>
          </w:tcPr>
          <w:p>
            <w:pPr>
              <w:spacing w:before="156" w:beforeLines="50" w:after="156" w:afterLines="50"/>
              <w:rPr>
                <w:rFonts w:hint="eastAsia" w:ascii="宋体" w:hAnsi="宋体" w:eastAsia="宋体" w:cs="宋体"/>
                <w:sz w:val="21"/>
                <w:szCs w:val="21"/>
                <w:lang w:eastAsia="zh-CN"/>
              </w:rPr>
            </w:pPr>
            <w:r>
              <w:rPr>
                <w:rFonts w:hint="eastAsia" w:ascii="宋体" w:hAnsi="宋体" w:eastAsia="宋体" w:cs="宋体"/>
                <w:sz w:val="21"/>
                <w:szCs w:val="21"/>
                <w:lang w:val="en-US" w:eastAsia="zh-CN"/>
              </w:rPr>
              <w:t>ACCO3007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课程性质</w:t>
            </w:r>
          </w:p>
        </w:tc>
        <w:tc>
          <w:tcPr>
            <w:tcW w:w="3685" w:type="dxa"/>
            <w:vAlign w:val="center"/>
          </w:tcPr>
          <w:p>
            <w:pPr>
              <w:spacing w:before="156" w:beforeLines="50" w:after="156" w:afterLines="5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专业</w:t>
            </w:r>
            <w:r>
              <w:rPr>
                <w:rFonts w:hint="eastAsia" w:ascii="宋体" w:hAnsi="宋体" w:eastAsia="宋体" w:cs="宋体"/>
                <w:sz w:val="21"/>
                <w:szCs w:val="21"/>
                <w:lang w:val="en-US" w:eastAsia="zh-CN"/>
              </w:rPr>
              <w:t>必</w:t>
            </w:r>
            <w:r>
              <w:rPr>
                <w:rFonts w:hint="eastAsia" w:ascii="宋体" w:hAnsi="宋体" w:eastAsia="宋体" w:cs="宋体"/>
                <w:sz w:val="21"/>
                <w:szCs w:val="21"/>
                <w:lang w:eastAsia="zh-CN"/>
              </w:rPr>
              <w:t>修课程</w:t>
            </w:r>
          </w:p>
        </w:tc>
        <w:tc>
          <w:tcPr>
            <w:tcW w:w="1134" w:type="dxa"/>
            <w:vAlign w:val="center"/>
          </w:tcPr>
          <w:p>
            <w:pPr>
              <w:spacing w:before="156" w:beforeLines="50" w:after="156" w:afterLines="50"/>
              <w:jc w:val="center"/>
              <w:rPr>
                <w:rFonts w:hint="eastAsia" w:ascii="宋体" w:hAnsi="宋体" w:eastAsia="宋体" w:cs="宋体"/>
                <w:b/>
                <w:bCs/>
                <w:sz w:val="21"/>
                <w:szCs w:val="21"/>
              </w:rPr>
            </w:pPr>
            <w:r>
              <w:rPr>
                <w:rFonts w:hint="eastAsia" w:ascii="宋体" w:hAnsi="宋体" w:eastAsia="宋体" w:cs="宋体"/>
                <w:b/>
                <w:bCs/>
                <w:sz w:val="21"/>
                <w:szCs w:val="21"/>
              </w:rPr>
              <w:t>授课对象</w:t>
            </w:r>
          </w:p>
        </w:tc>
        <w:tc>
          <w:tcPr>
            <w:tcW w:w="2744" w:type="dxa"/>
            <w:vAlign w:val="center"/>
          </w:tcPr>
          <w:p>
            <w:pPr>
              <w:spacing w:before="156" w:beforeLines="50" w:after="156" w:afterLines="50"/>
              <w:rPr>
                <w:rFonts w:hint="eastAsia" w:ascii="宋体" w:hAnsi="宋体" w:eastAsia="宋体" w:cs="宋体"/>
                <w:sz w:val="21"/>
                <w:szCs w:val="21"/>
                <w:lang w:eastAsia="zh-CN"/>
              </w:rPr>
            </w:pPr>
            <w:r>
              <w:rPr>
                <w:rFonts w:hint="eastAsia" w:ascii="宋体" w:hAnsi="宋体" w:eastAsia="宋体" w:cs="宋体"/>
                <w:sz w:val="21"/>
                <w:szCs w:val="21"/>
                <w:lang w:val="en-US" w:eastAsia="zh-CN"/>
              </w:rPr>
              <w:t>会计学、财务管理</w:t>
            </w:r>
            <w:r>
              <w:rPr>
                <w:rFonts w:hint="eastAsia" w:ascii="宋体" w:hAnsi="宋体" w:eastAsia="宋体" w:cs="宋体"/>
                <w:sz w:val="21"/>
                <w:szCs w:val="21"/>
                <w:lang w:eastAsia="zh-CN"/>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分</w:t>
            </w:r>
          </w:p>
        </w:tc>
        <w:tc>
          <w:tcPr>
            <w:tcW w:w="3685" w:type="dxa"/>
            <w:vAlign w:val="center"/>
          </w:tcPr>
          <w:p>
            <w:pPr>
              <w:spacing w:before="156" w:beforeLines="50" w:after="156" w:afterLines="5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134" w:type="dxa"/>
            <w:vAlign w:val="center"/>
          </w:tcPr>
          <w:p>
            <w:pPr>
              <w:spacing w:before="156" w:beforeLines="50" w:after="156" w:afterLines="50"/>
              <w:jc w:val="center"/>
              <w:rPr>
                <w:rFonts w:hint="eastAsia" w:ascii="宋体" w:hAnsi="宋体" w:eastAsia="宋体" w:cs="宋体"/>
                <w:b/>
                <w:bCs/>
                <w:sz w:val="21"/>
                <w:szCs w:val="21"/>
              </w:rPr>
            </w:pPr>
            <w:r>
              <w:rPr>
                <w:rFonts w:hint="eastAsia" w:ascii="宋体" w:hAnsi="宋体" w:eastAsia="宋体" w:cs="宋体"/>
                <w:b/>
                <w:bCs/>
                <w:sz w:val="21"/>
                <w:szCs w:val="21"/>
              </w:rPr>
              <w:t>学   时</w:t>
            </w:r>
          </w:p>
        </w:tc>
        <w:tc>
          <w:tcPr>
            <w:tcW w:w="2744" w:type="dxa"/>
            <w:vAlign w:val="center"/>
          </w:tcPr>
          <w:p>
            <w:pPr>
              <w:spacing w:before="156" w:beforeLines="50" w:after="156" w:afterLines="5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主讲教师</w:t>
            </w:r>
          </w:p>
        </w:tc>
        <w:tc>
          <w:tcPr>
            <w:tcW w:w="3685" w:type="dxa"/>
            <w:vAlign w:val="center"/>
          </w:tcPr>
          <w:p>
            <w:pPr>
              <w:spacing w:before="156" w:beforeLines="50" w:after="156" w:afterLines="5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郁刚</w:t>
            </w:r>
          </w:p>
        </w:tc>
        <w:tc>
          <w:tcPr>
            <w:tcW w:w="1134" w:type="dxa"/>
            <w:vAlign w:val="center"/>
          </w:tcPr>
          <w:p>
            <w:pPr>
              <w:spacing w:before="156" w:beforeLines="50" w:after="156" w:afterLines="50"/>
              <w:jc w:val="center"/>
              <w:rPr>
                <w:rFonts w:hint="eastAsia" w:ascii="宋体" w:hAnsi="宋体" w:eastAsia="宋体" w:cs="宋体"/>
                <w:b/>
                <w:bCs/>
                <w:sz w:val="21"/>
                <w:szCs w:val="21"/>
              </w:rPr>
            </w:pPr>
            <w:r>
              <w:rPr>
                <w:rFonts w:hint="eastAsia" w:ascii="宋体" w:hAnsi="宋体" w:eastAsia="宋体" w:cs="宋体"/>
                <w:b/>
                <w:bCs/>
                <w:sz w:val="21"/>
                <w:szCs w:val="21"/>
              </w:rPr>
              <w:t>修订日期</w:t>
            </w:r>
          </w:p>
        </w:tc>
        <w:tc>
          <w:tcPr>
            <w:tcW w:w="2744" w:type="dxa"/>
            <w:vAlign w:val="center"/>
          </w:tcPr>
          <w:p>
            <w:pPr>
              <w:spacing w:before="156" w:beforeLines="50" w:after="156" w:afterLines="5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指定教材</w:t>
            </w:r>
          </w:p>
        </w:tc>
        <w:tc>
          <w:tcPr>
            <w:tcW w:w="7563" w:type="dxa"/>
            <w:gridSpan w:val="3"/>
            <w:vAlign w:val="center"/>
          </w:tcPr>
          <w:p>
            <w:pPr>
              <w:spacing w:before="156" w:beforeLines="50" w:after="156" w:afterLines="5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王则斌、郁刚，《高级财务会计专题》，苏州大学出版社</w:t>
            </w:r>
          </w:p>
        </w:tc>
      </w:tr>
    </w:tbl>
    <w:p>
      <w:pPr>
        <w:pStyle w:val="2"/>
        <w:spacing w:before="156" w:beforeLines="50" w:after="156" w:afterLines="50"/>
        <w:ind w:firstLine="562" w:firstLineChars="200"/>
        <w:rPr>
          <w:rFonts w:hint="eastAsia" w:hAnsi="宋体" w:eastAsia="黑体" w:cs="宋体"/>
          <w:lang w:eastAsia="zh-CN"/>
        </w:rPr>
      </w:pPr>
      <w:r>
        <w:rPr>
          <w:rFonts w:hint="eastAsia" w:ascii="黑体" w:hAnsi="黑体" w:eastAsia="黑体" w:cs="宋体"/>
          <w:b/>
          <w:sz w:val="28"/>
          <w:szCs w:val="28"/>
        </w:rPr>
        <w:t>二、</w:t>
      </w:r>
      <w:r>
        <w:rPr>
          <w:rFonts w:hint="eastAsia" w:ascii="黑体" w:hAnsi="黑体" w:eastAsia="黑体" w:cs="宋体"/>
          <w:b/>
          <w:sz w:val="28"/>
          <w:szCs w:val="28"/>
          <w:lang w:eastAsia="zh-CN"/>
        </w:rPr>
        <w:t>课程目标</w:t>
      </w:r>
    </w:p>
    <w:p>
      <w:pPr>
        <w:pStyle w:val="2"/>
        <w:spacing w:before="156" w:beforeLines="50" w:after="156" w:afterLines="50"/>
        <w:ind w:firstLine="480" w:firstLineChars="200"/>
        <w:rPr>
          <w:rFonts w:hint="eastAsia" w:ascii="黑体" w:hAnsi="黑体" w:eastAsia="黑体" w:cs="宋体"/>
          <w:b/>
          <w:sz w:val="24"/>
          <w:szCs w:val="24"/>
        </w:rPr>
      </w:pPr>
      <w:r>
        <w:rPr>
          <w:rFonts w:hint="eastAsia" w:ascii="黑体" w:hAnsi="黑体" w:eastAsia="黑体" w:cs="宋体"/>
          <w:sz w:val="24"/>
          <w:szCs w:val="24"/>
        </w:rPr>
        <w:t>（一）</w:t>
      </w:r>
      <w:r>
        <w:rPr>
          <w:rFonts w:hint="eastAsia" w:ascii="黑体" w:hAnsi="黑体" w:eastAsia="黑体" w:cs="宋体"/>
          <w:b/>
          <w:sz w:val="24"/>
          <w:szCs w:val="24"/>
        </w:rPr>
        <w:t>总体目标</w:t>
      </w:r>
    </w:p>
    <w:p>
      <w:pPr>
        <w:snapToGrid w:val="0"/>
        <w:spacing w:line="276" w:lineRule="auto"/>
        <w:ind w:firstLine="420" w:firstLineChars="200"/>
        <w:jc w:val="both"/>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olor w:val="000000" w:themeColor="text1"/>
          <w14:textFill>
            <w14:solidFill>
              <w14:schemeClr w14:val="tx1"/>
            </w14:solidFill>
          </w14:textFill>
        </w:rPr>
        <w:t>本课程是会计学专业的专业必修课程之一，</w:t>
      </w:r>
      <w:r>
        <w:rPr>
          <w:rFonts w:hint="eastAsia" w:ascii="宋体" w:hAnsi="宋体" w:eastAsia="宋体"/>
          <w:color w:val="000000" w:themeColor="text1"/>
          <w:lang w:val="en-US" w:eastAsia="zh-CN"/>
          <w14:textFill>
            <w14:solidFill>
              <w14:schemeClr w14:val="tx1"/>
            </w14:solidFill>
          </w14:textFill>
        </w:rPr>
        <w:t>学习本课程需要学生具备扎实的基础会计学和中级财务会计知识</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本课程旨在帮助学生在掌握企业会计日常业务处理的基础上深入了解某些专题领域具体会计准则，提升对企业会计准则的理解能力。所选择的专题内容既与资本市场上市公司日常业务处理相关，也与国内会计类考试密切相关，对于学生日后参加财经领域各类证书考试也有直接帮助。</w:t>
      </w:r>
    </w:p>
    <w:p>
      <w:pPr>
        <w:pStyle w:val="2"/>
        <w:spacing w:before="156" w:beforeLines="50" w:after="156" w:afterLines="50"/>
        <w:ind w:firstLine="420" w:firstLineChars="200"/>
        <w:rPr>
          <w:rFonts w:hint="eastAsia" w:hAnsi="宋体" w:eastAsia="宋体" w:cs="宋体"/>
          <w:lang w:eastAsia="zh-CN"/>
        </w:rPr>
      </w:pPr>
      <w:r>
        <w:rPr>
          <w:rFonts w:hint="eastAsia" w:ascii="宋体" w:hAnsi="宋体" w:eastAsia="宋体" w:cs="宋体"/>
          <w:color w:val="000000" w:themeColor="text1"/>
          <w:lang w:val="en-US" w:eastAsia="zh-CN"/>
          <w14:textFill>
            <w14:solidFill>
              <w14:schemeClr w14:val="tx1"/>
            </w14:solidFill>
          </w14:textFill>
        </w:rPr>
        <w:t>另外，掌握好本课程对于深入学习管理会计，从事相关工作也有一定帮助。在人工智能飞速发展的今天，财务会计的繁琐工作将在很大程度上由相关AI软件所代替，会计的职业发展方向在于管理会计和信息化。但是责任管理观念的树立需要准确、可靠的财务数据为基础，只有熟悉会计业务操作，才能为管理决策提供关键性建议。AI软件的介入只是帮助会计人员减负，但并不是降低会计人员的财务专业知识要求。</w:t>
      </w:r>
    </w:p>
    <w:p>
      <w:pPr>
        <w:pStyle w:val="2"/>
        <w:numPr>
          <w:ilvl w:val="0"/>
          <w:numId w:val="1"/>
        </w:numPr>
        <w:spacing w:before="156" w:beforeLines="50" w:after="156" w:afterLines="50"/>
        <w:ind w:firstLine="480" w:firstLineChars="200"/>
        <w:rPr>
          <w:rFonts w:hint="eastAsia" w:ascii="黑体" w:hAnsi="黑体" w:eastAsia="黑体" w:cs="宋体"/>
          <w:sz w:val="24"/>
          <w:szCs w:val="24"/>
        </w:rPr>
      </w:pPr>
      <w:r>
        <w:rPr>
          <w:rFonts w:hint="eastAsia" w:ascii="黑体" w:hAnsi="黑体" w:eastAsia="黑体" w:cs="宋体"/>
          <w:sz w:val="24"/>
          <w:szCs w:val="24"/>
        </w:rPr>
        <w:t>课程目标：</w:t>
      </w:r>
    </w:p>
    <w:p>
      <w:pPr>
        <w:pStyle w:val="2"/>
        <w:numPr>
          <w:ilvl w:val="0"/>
          <w:numId w:val="0"/>
        </w:numPr>
        <w:spacing w:before="156" w:beforeLines="50" w:after="156" w:afterLines="50"/>
        <w:rPr>
          <w:rFonts w:hint="eastAsia" w:hAnsi="宋体" w:eastAsia="宋体" w:cs="宋体"/>
          <w:b/>
          <w:lang w:eastAsia="zh-CN"/>
        </w:rPr>
      </w:pPr>
      <w:r>
        <w:rPr>
          <w:rFonts w:hint="eastAsia" w:hAnsi="宋体" w:cs="宋体"/>
          <w:b/>
          <w:lang w:val="en-US" w:eastAsia="zh-CN"/>
        </w:rPr>
        <w:t xml:space="preserve">      </w:t>
      </w:r>
      <w:r>
        <w:rPr>
          <w:rFonts w:hint="eastAsia" w:hAnsi="宋体" w:cs="宋体"/>
          <w:b/>
        </w:rPr>
        <w:t>课程目标</w:t>
      </w:r>
      <w:r>
        <w:rPr>
          <w:rFonts w:hint="eastAsia" w:hAnsi="宋体" w:cs="宋体"/>
          <w:b/>
          <w:lang w:val="en-US" w:eastAsia="zh-CN"/>
        </w:rPr>
        <w:t>1</w:t>
      </w:r>
      <w:r>
        <w:rPr>
          <w:rFonts w:hint="eastAsia" w:hAnsi="宋体" w:cs="宋体"/>
          <w:b/>
        </w:rPr>
        <w:t>：</w:t>
      </w:r>
      <w:r>
        <w:rPr>
          <w:rFonts w:hint="eastAsia" w:hAnsi="宋体" w:cs="宋体"/>
          <w:b/>
          <w:lang w:eastAsia="zh-CN"/>
        </w:rPr>
        <w:t>通过学习</w:t>
      </w:r>
      <w:r>
        <w:rPr>
          <w:rFonts w:hint="eastAsia" w:hAnsi="宋体" w:cs="宋体"/>
          <w:b/>
          <w:lang w:val="en-US" w:eastAsia="zh-CN"/>
        </w:rPr>
        <w:t>最新修订的三条具体准则</w:t>
      </w:r>
      <w:r>
        <w:rPr>
          <w:rFonts w:hint="eastAsia" w:hAnsi="宋体" w:cs="宋体"/>
          <w:b/>
          <w:lang w:eastAsia="zh-CN"/>
        </w:rPr>
        <w:t>（</w:t>
      </w:r>
      <w:r>
        <w:rPr>
          <w:rFonts w:hint="eastAsia" w:hAnsi="宋体" w:cs="宋体"/>
          <w:b/>
          <w:lang w:val="en-US" w:eastAsia="zh-CN"/>
        </w:rPr>
        <w:t>非货币性资产交换、债务重组和租赁</w:t>
      </w:r>
      <w:r>
        <w:rPr>
          <w:rFonts w:hint="eastAsia" w:hAnsi="宋体" w:cs="宋体"/>
          <w:b/>
          <w:lang w:eastAsia="zh-CN"/>
        </w:rPr>
        <w:t>），</w:t>
      </w:r>
      <w:r>
        <w:rPr>
          <w:rFonts w:hint="eastAsia" w:hAnsi="宋体" w:cs="宋体"/>
          <w:b/>
          <w:lang w:val="en-US" w:eastAsia="zh-CN"/>
        </w:rPr>
        <w:t>掌握基本的会计处理</w:t>
      </w:r>
      <w:r>
        <w:rPr>
          <w:rFonts w:hint="eastAsia" w:hAnsi="宋体" w:cs="宋体"/>
          <w:b/>
          <w:lang w:eastAsia="zh-CN"/>
        </w:rPr>
        <w:t>。</w:t>
      </w:r>
    </w:p>
    <w:p>
      <w:pPr>
        <w:pStyle w:val="2"/>
        <w:spacing w:before="156" w:beforeLines="50" w:after="156" w:afterLines="50"/>
        <w:ind w:firstLine="420" w:firstLineChars="200"/>
        <w:rPr>
          <w:rFonts w:hint="default" w:hAnsi="宋体" w:cs="宋体"/>
          <w:lang w:val="en-US" w:eastAsia="zh-CN"/>
        </w:rPr>
      </w:pPr>
      <w:r>
        <w:rPr>
          <w:rFonts w:hint="eastAsia" w:hAnsi="宋体" w:cs="宋体"/>
          <w:lang w:val="en-US" w:eastAsia="zh-CN"/>
        </w:rPr>
        <w:t>1</w:t>
      </w:r>
      <w:r>
        <w:rPr>
          <w:rFonts w:hint="eastAsia" w:hAnsi="宋体" w:cs="宋体"/>
        </w:rPr>
        <w:t>．</w:t>
      </w:r>
      <w:r>
        <w:rPr>
          <w:rFonts w:hint="eastAsia" w:hAnsi="宋体" w:cs="宋体"/>
          <w:lang w:val="en-US" w:eastAsia="zh-CN"/>
        </w:rPr>
        <w:t>1非货币性资产交换的会计处理</w:t>
      </w:r>
    </w:p>
    <w:p>
      <w:pPr>
        <w:pStyle w:val="2"/>
        <w:spacing w:before="156" w:beforeLines="50" w:after="156" w:afterLines="50"/>
        <w:ind w:firstLine="420" w:firstLineChars="200"/>
        <w:rPr>
          <w:rFonts w:hint="default" w:hAnsi="宋体" w:cs="宋体"/>
          <w:lang w:val="en-US" w:eastAsia="zh-CN"/>
        </w:rPr>
      </w:pPr>
      <w:r>
        <w:rPr>
          <w:rFonts w:hint="eastAsia" w:hAnsi="宋体" w:cs="宋体"/>
          <w:lang w:val="en-US" w:eastAsia="zh-CN"/>
        </w:rPr>
        <w:t>1</w:t>
      </w:r>
      <w:r>
        <w:rPr>
          <w:rFonts w:hint="eastAsia" w:hAnsi="宋体" w:cs="宋体"/>
        </w:rPr>
        <w:t>．2</w:t>
      </w:r>
      <w:r>
        <w:rPr>
          <w:rFonts w:hint="eastAsia" w:hAnsi="宋体" w:cs="宋体"/>
          <w:lang w:val="en-US" w:eastAsia="zh-CN"/>
        </w:rPr>
        <w:t>债务重组的会计处理</w:t>
      </w:r>
    </w:p>
    <w:p>
      <w:pPr>
        <w:pStyle w:val="2"/>
        <w:spacing w:before="156" w:beforeLines="50" w:after="156" w:afterLines="50"/>
        <w:ind w:firstLine="420" w:firstLineChars="200"/>
        <w:rPr>
          <w:rFonts w:hint="eastAsia" w:hAnsi="宋体" w:eastAsia="宋体" w:cs="宋体"/>
          <w:lang w:eastAsia="zh-CN"/>
        </w:rPr>
      </w:pPr>
      <w:r>
        <w:rPr>
          <w:rFonts w:hint="eastAsia" w:hAnsi="宋体" w:cs="宋体"/>
          <w:lang w:val="en-US" w:eastAsia="zh-CN"/>
        </w:rPr>
        <w:t>1</w:t>
      </w:r>
      <w:r>
        <w:rPr>
          <w:rFonts w:hint="eastAsia" w:hAnsi="宋体" w:cs="宋体"/>
        </w:rPr>
        <w:t>．</w:t>
      </w:r>
      <w:r>
        <w:rPr>
          <w:rFonts w:hint="eastAsia" w:hAnsi="宋体" w:cs="宋体"/>
          <w:lang w:val="en-US" w:eastAsia="zh-CN"/>
        </w:rPr>
        <w:t>3租赁的会计处理</w:t>
      </w:r>
    </w:p>
    <w:p>
      <w:pPr>
        <w:pStyle w:val="2"/>
        <w:spacing w:before="156" w:beforeLines="50" w:after="156" w:afterLines="50"/>
        <w:ind w:firstLine="422" w:firstLineChars="200"/>
        <w:rPr>
          <w:rFonts w:hint="eastAsia" w:hAnsi="宋体" w:eastAsia="宋体" w:cs="宋体"/>
          <w:b/>
          <w:lang w:eastAsia="zh-CN"/>
        </w:rPr>
      </w:pPr>
      <w:r>
        <w:rPr>
          <w:rFonts w:hint="eastAsia" w:hAnsi="宋体" w:cs="宋体"/>
          <w:b/>
        </w:rPr>
        <w:t>课程目标</w:t>
      </w:r>
      <w:r>
        <w:rPr>
          <w:rFonts w:hint="eastAsia" w:hAnsi="宋体" w:cs="宋体"/>
          <w:b/>
          <w:lang w:val="en-US" w:eastAsia="zh-CN"/>
        </w:rPr>
        <w:t>2</w:t>
      </w:r>
      <w:r>
        <w:rPr>
          <w:rFonts w:hint="eastAsia" w:hAnsi="宋体" w:cs="宋体"/>
          <w:b/>
        </w:rPr>
        <w:t>：</w:t>
      </w:r>
      <w:r>
        <w:rPr>
          <w:rFonts w:hint="eastAsia" w:hAnsi="宋体" w:cs="宋体"/>
          <w:b/>
          <w:lang w:eastAsia="zh-CN"/>
        </w:rPr>
        <w:t>通过学习</w:t>
      </w:r>
      <w:r>
        <w:rPr>
          <w:rFonts w:hint="eastAsia" w:hAnsi="宋体" w:cs="宋体"/>
          <w:b/>
          <w:lang w:val="en-US" w:eastAsia="zh-CN"/>
        </w:rPr>
        <w:t>股份支付准则</w:t>
      </w:r>
      <w:r>
        <w:rPr>
          <w:rFonts w:hint="eastAsia" w:hAnsi="宋体" w:cs="宋体"/>
          <w:b/>
          <w:lang w:eastAsia="zh-CN"/>
        </w:rPr>
        <w:t>，</w:t>
      </w:r>
      <w:r>
        <w:rPr>
          <w:rFonts w:hint="eastAsia" w:hAnsi="宋体" w:cs="宋体"/>
          <w:b/>
          <w:lang w:val="en-US" w:eastAsia="zh-CN"/>
        </w:rPr>
        <w:t>掌握不同股权激励方式下的会计处理</w:t>
      </w:r>
      <w:r>
        <w:rPr>
          <w:rFonts w:hint="eastAsia" w:hAnsi="宋体" w:cs="宋体"/>
          <w:b/>
          <w:lang w:eastAsia="zh-CN"/>
        </w:rPr>
        <w:t>。</w:t>
      </w:r>
    </w:p>
    <w:p>
      <w:pPr>
        <w:pStyle w:val="2"/>
        <w:spacing w:before="156" w:beforeLines="50" w:after="156" w:afterLines="50"/>
        <w:ind w:firstLine="420" w:firstLineChars="200"/>
        <w:rPr>
          <w:rFonts w:hint="default" w:hAnsi="宋体" w:eastAsia="宋体" w:cs="宋体"/>
          <w:lang w:val="en-US" w:eastAsia="zh-CN"/>
        </w:rPr>
      </w:pPr>
      <w:r>
        <w:rPr>
          <w:rFonts w:hint="eastAsia" w:hAnsi="宋体" w:cs="宋体"/>
          <w:lang w:val="en-US" w:eastAsia="zh-CN"/>
        </w:rPr>
        <w:t>2</w:t>
      </w:r>
      <w:r>
        <w:rPr>
          <w:rFonts w:hint="eastAsia" w:hAnsi="宋体" w:cs="宋体"/>
        </w:rPr>
        <w:t>．1</w:t>
      </w:r>
      <w:r>
        <w:rPr>
          <w:rFonts w:hint="eastAsia" w:hAnsi="宋体" w:cs="宋体"/>
          <w:lang w:val="en-US" w:eastAsia="zh-CN"/>
        </w:rPr>
        <w:t>股票期权的会计处理</w:t>
      </w:r>
    </w:p>
    <w:p>
      <w:pPr>
        <w:pStyle w:val="2"/>
        <w:spacing w:before="156" w:beforeLines="50" w:after="156" w:afterLines="50"/>
        <w:ind w:firstLine="420" w:firstLineChars="200"/>
        <w:rPr>
          <w:rFonts w:hint="eastAsia" w:hAnsi="宋体" w:cs="宋体"/>
          <w:lang w:val="en-US" w:eastAsia="zh-CN"/>
        </w:rPr>
      </w:pPr>
      <w:r>
        <w:rPr>
          <w:rFonts w:hint="eastAsia" w:hAnsi="宋体" w:cs="宋体"/>
          <w:lang w:val="en-US" w:eastAsia="zh-CN"/>
        </w:rPr>
        <w:t>2</w:t>
      </w:r>
      <w:r>
        <w:rPr>
          <w:rFonts w:hint="eastAsia" w:hAnsi="宋体" w:cs="宋体"/>
        </w:rPr>
        <w:t>．2</w:t>
      </w:r>
      <w:r>
        <w:rPr>
          <w:rFonts w:hint="eastAsia" w:hAnsi="宋体" w:cs="宋体"/>
          <w:lang w:val="en-US" w:eastAsia="zh-CN"/>
        </w:rPr>
        <w:t>限制性股票的会计处理</w:t>
      </w:r>
    </w:p>
    <w:p>
      <w:pPr>
        <w:pStyle w:val="2"/>
        <w:spacing w:before="156" w:beforeLines="50" w:after="156" w:afterLines="50"/>
        <w:ind w:firstLine="420" w:firstLineChars="200"/>
        <w:rPr>
          <w:rFonts w:hint="default" w:hAnsi="宋体" w:cs="宋体"/>
          <w:lang w:val="en-US" w:eastAsia="zh-CN"/>
        </w:rPr>
      </w:pPr>
      <w:r>
        <w:rPr>
          <w:rFonts w:hint="eastAsia" w:hAnsi="宋体" w:cs="宋体"/>
          <w:lang w:val="en-US" w:eastAsia="zh-CN"/>
        </w:rPr>
        <w:t>2</w:t>
      </w:r>
      <w:r>
        <w:rPr>
          <w:rFonts w:hint="eastAsia" w:hAnsi="宋体" w:cs="宋体"/>
        </w:rPr>
        <w:t>．</w:t>
      </w:r>
      <w:r>
        <w:rPr>
          <w:rFonts w:hint="eastAsia" w:hAnsi="宋体" w:cs="宋体"/>
          <w:lang w:val="en-US" w:eastAsia="zh-CN"/>
        </w:rPr>
        <w:t>3现金股票增值权的会计处理</w:t>
      </w:r>
    </w:p>
    <w:p>
      <w:pPr>
        <w:pStyle w:val="2"/>
        <w:spacing w:before="156" w:beforeLines="50" w:after="156" w:afterLines="50"/>
        <w:ind w:firstLine="422" w:firstLineChars="200"/>
        <w:rPr>
          <w:rFonts w:hint="eastAsia" w:hAnsi="宋体" w:eastAsia="宋体" w:cs="宋体"/>
          <w:b/>
          <w:bCs/>
          <w:lang w:val="en-US" w:eastAsia="zh-CN"/>
        </w:rPr>
      </w:pPr>
      <w:r>
        <w:rPr>
          <w:rFonts w:hint="eastAsia" w:hAnsi="宋体" w:cs="宋体"/>
          <w:b/>
        </w:rPr>
        <w:t>课程目标3：</w:t>
      </w:r>
      <w:r>
        <w:rPr>
          <w:rFonts w:hint="eastAsia" w:hAnsi="宋体" w:cs="宋体"/>
          <w:b/>
          <w:lang w:eastAsia="zh-CN"/>
        </w:rPr>
        <w:t>通过学习</w:t>
      </w:r>
      <w:r>
        <w:rPr>
          <w:rFonts w:hint="eastAsia" w:hAnsi="宋体" w:cs="宋体"/>
          <w:b/>
          <w:lang w:val="en-US" w:eastAsia="zh-CN"/>
        </w:rPr>
        <w:t>所得税准则</w:t>
      </w:r>
      <w:r>
        <w:rPr>
          <w:rFonts w:hint="eastAsia" w:hAnsi="宋体" w:cs="宋体"/>
          <w:b/>
          <w:lang w:eastAsia="zh-CN"/>
        </w:rPr>
        <w:t>，</w:t>
      </w:r>
      <w:r>
        <w:rPr>
          <w:rFonts w:hint="eastAsia" w:hAnsi="宋体" w:cs="宋体"/>
          <w:b/>
          <w:lang w:val="en-US" w:eastAsia="zh-CN"/>
        </w:rPr>
        <w:t>掌握资产负债表债务法的会计处理</w:t>
      </w:r>
      <w:r>
        <w:rPr>
          <w:rFonts w:hint="eastAsia" w:hAnsi="宋体" w:cs="宋体"/>
          <w:b/>
          <w:lang w:eastAsia="zh-CN"/>
        </w:rPr>
        <w:t>。</w:t>
      </w:r>
    </w:p>
    <w:p>
      <w:pPr>
        <w:pStyle w:val="2"/>
        <w:spacing w:before="156" w:beforeLines="50" w:after="156" w:afterLines="50"/>
        <w:ind w:firstLine="420" w:firstLineChars="200"/>
        <w:rPr>
          <w:rFonts w:hint="default" w:hAnsi="宋体" w:cs="宋体"/>
          <w:lang w:val="en-US" w:eastAsia="zh-CN"/>
        </w:rPr>
      </w:pPr>
      <w:r>
        <w:rPr>
          <w:rFonts w:hint="eastAsia" w:hAnsi="宋体" w:cs="宋体"/>
          <w:lang w:val="en-US" w:eastAsia="zh-CN"/>
        </w:rPr>
        <w:t>3</w:t>
      </w:r>
      <w:r>
        <w:rPr>
          <w:rFonts w:hint="eastAsia" w:hAnsi="宋体" w:cs="宋体"/>
        </w:rPr>
        <w:t>．</w:t>
      </w:r>
      <w:r>
        <w:rPr>
          <w:rFonts w:hint="eastAsia" w:hAnsi="宋体" w:cs="宋体"/>
          <w:lang w:val="en-US" w:eastAsia="zh-CN"/>
        </w:rPr>
        <w:t>1掌握暂时性差异的分类</w:t>
      </w:r>
    </w:p>
    <w:p>
      <w:pPr>
        <w:pStyle w:val="2"/>
        <w:spacing w:before="156" w:beforeLines="50" w:after="156" w:afterLines="50"/>
        <w:ind w:firstLine="420" w:firstLineChars="200"/>
        <w:rPr>
          <w:rFonts w:hint="eastAsia" w:hAnsi="宋体" w:cs="宋体"/>
          <w:lang w:val="en-US" w:eastAsia="zh-CN"/>
        </w:rPr>
      </w:pPr>
      <w:r>
        <w:rPr>
          <w:rFonts w:hint="eastAsia" w:hAnsi="宋体" w:cs="宋体"/>
          <w:lang w:val="en-US" w:eastAsia="zh-CN"/>
        </w:rPr>
        <w:t>3</w:t>
      </w:r>
      <w:r>
        <w:rPr>
          <w:rFonts w:hint="eastAsia" w:hAnsi="宋体" w:cs="宋体"/>
        </w:rPr>
        <w:t>．</w:t>
      </w:r>
      <w:r>
        <w:rPr>
          <w:rFonts w:hint="eastAsia" w:hAnsi="宋体" w:cs="宋体"/>
          <w:lang w:val="en-US" w:eastAsia="zh-CN"/>
        </w:rPr>
        <w:t>2掌握暂时性差异的会计处理</w:t>
      </w:r>
    </w:p>
    <w:p>
      <w:pPr>
        <w:pStyle w:val="2"/>
        <w:spacing w:before="156" w:beforeLines="50" w:after="156" w:afterLines="50"/>
        <w:ind w:firstLine="422" w:firstLineChars="200"/>
        <w:rPr>
          <w:rFonts w:hint="eastAsia" w:hAnsi="宋体" w:eastAsia="宋体" w:cs="宋体"/>
          <w:b/>
          <w:bCs/>
          <w:lang w:val="en-US" w:eastAsia="zh-CN"/>
        </w:rPr>
      </w:pPr>
      <w:r>
        <w:rPr>
          <w:rFonts w:hint="eastAsia" w:hAnsi="宋体" w:cs="宋体"/>
          <w:b/>
        </w:rPr>
        <w:t>课程目标</w:t>
      </w:r>
      <w:r>
        <w:rPr>
          <w:rFonts w:hint="eastAsia" w:hAnsi="宋体" w:cs="宋体"/>
          <w:b/>
          <w:lang w:val="en-US" w:eastAsia="zh-CN"/>
        </w:rPr>
        <w:t>4</w:t>
      </w:r>
      <w:r>
        <w:rPr>
          <w:rFonts w:hint="eastAsia" w:hAnsi="宋体" w:cs="宋体"/>
          <w:b/>
        </w:rPr>
        <w:t>：</w:t>
      </w:r>
      <w:r>
        <w:rPr>
          <w:rFonts w:hint="eastAsia" w:hAnsi="宋体" w:cs="宋体"/>
          <w:b/>
          <w:lang w:eastAsia="zh-CN"/>
        </w:rPr>
        <w:t>通过学习</w:t>
      </w:r>
      <w:r>
        <w:rPr>
          <w:rFonts w:hint="eastAsia" w:hAnsi="宋体" w:cs="宋体"/>
          <w:b/>
          <w:lang w:val="en-US" w:eastAsia="zh-CN"/>
        </w:rPr>
        <w:t>合并财务报表准则</w:t>
      </w:r>
      <w:r>
        <w:rPr>
          <w:rFonts w:hint="eastAsia" w:hAnsi="宋体" w:cs="宋体"/>
          <w:b/>
          <w:lang w:eastAsia="zh-CN"/>
        </w:rPr>
        <w:t>，</w:t>
      </w:r>
      <w:r>
        <w:rPr>
          <w:rFonts w:hint="eastAsia" w:hAnsi="宋体" w:cs="宋体"/>
          <w:b/>
          <w:lang w:val="en-US" w:eastAsia="zh-CN"/>
        </w:rPr>
        <w:t>掌握合并财务报表的日常会计处理</w:t>
      </w:r>
      <w:r>
        <w:rPr>
          <w:rFonts w:hint="eastAsia" w:hAnsi="宋体" w:cs="宋体"/>
          <w:b/>
          <w:lang w:eastAsia="zh-CN"/>
        </w:rPr>
        <w:t>。</w:t>
      </w:r>
    </w:p>
    <w:p>
      <w:pPr>
        <w:pStyle w:val="2"/>
        <w:spacing w:before="156" w:beforeLines="50" w:after="156" w:afterLines="50"/>
        <w:ind w:firstLine="420" w:firstLineChars="200"/>
        <w:rPr>
          <w:rFonts w:hint="default" w:hAnsi="宋体" w:cs="宋体"/>
          <w:lang w:val="en-US" w:eastAsia="zh-CN"/>
        </w:rPr>
      </w:pPr>
      <w:r>
        <w:rPr>
          <w:rFonts w:hint="eastAsia" w:hAnsi="宋体" w:cs="宋体"/>
          <w:lang w:val="en-US" w:eastAsia="zh-CN"/>
        </w:rPr>
        <w:t>3</w:t>
      </w:r>
      <w:r>
        <w:rPr>
          <w:rFonts w:hint="eastAsia" w:hAnsi="宋体" w:cs="宋体"/>
        </w:rPr>
        <w:t>．</w:t>
      </w:r>
      <w:r>
        <w:rPr>
          <w:rFonts w:hint="eastAsia" w:hAnsi="宋体" w:cs="宋体"/>
          <w:lang w:val="en-US" w:eastAsia="zh-CN"/>
        </w:rPr>
        <w:t>1掌握同一控制和非同一控制下合并财务报表的连续编制</w:t>
      </w:r>
    </w:p>
    <w:p>
      <w:pPr>
        <w:pStyle w:val="2"/>
        <w:spacing w:before="156" w:beforeLines="50" w:after="156" w:afterLines="50"/>
        <w:ind w:firstLine="420" w:firstLineChars="200"/>
        <w:rPr>
          <w:rFonts w:hint="default" w:hAnsi="宋体" w:cs="宋体"/>
          <w:lang w:val="en-US" w:eastAsia="zh-CN"/>
        </w:rPr>
      </w:pPr>
      <w:r>
        <w:rPr>
          <w:rFonts w:hint="eastAsia" w:hAnsi="宋体" w:cs="宋体"/>
          <w:lang w:val="en-US" w:eastAsia="zh-CN"/>
        </w:rPr>
        <w:t>3</w:t>
      </w:r>
      <w:r>
        <w:rPr>
          <w:rFonts w:hint="eastAsia" w:hAnsi="宋体" w:cs="宋体"/>
        </w:rPr>
        <w:t>．</w:t>
      </w:r>
      <w:r>
        <w:rPr>
          <w:rFonts w:hint="eastAsia" w:hAnsi="宋体" w:cs="宋体"/>
          <w:lang w:val="en-US" w:eastAsia="zh-CN"/>
        </w:rPr>
        <w:t>2掌握不同种类内部交易的抵销分录编制</w:t>
      </w:r>
    </w:p>
    <w:p>
      <w:pPr>
        <w:pStyle w:val="2"/>
        <w:spacing w:before="156" w:beforeLines="50" w:after="156" w:afterLines="50"/>
        <w:ind w:firstLine="420" w:firstLineChars="200"/>
        <w:rPr>
          <w:rFonts w:hint="eastAsia" w:hAnsi="宋体" w:cs="宋体"/>
          <w:lang w:val="en-US" w:eastAsia="zh-CN"/>
        </w:rPr>
      </w:pPr>
    </w:p>
    <w:p>
      <w:pPr>
        <w:pStyle w:val="2"/>
        <w:numPr>
          <w:ilvl w:val="0"/>
          <w:numId w:val="1"/>
        </w:numPr>
        <w:spacing w:before="156" w:beforeLines="50" w:after="156" w:afterLines="50"/>
        <w:ind w:firstLine="480" w:firstLineChars="200"/>
        <w:jc w:val="left"/>
        <w:rPr>
          <w:rFonts w:hint="eastAsia" w:ascii="黑体" w:hAnsi="黑体" w:eastAsia="黑体" w:cs="宋体"/>
          <w:sz w:val="24"/>
          <w:szCs w:val="24"/>
        </w:rPr>
      </w:pPr>
      <w:r>
        <w:rPr>
          <w:rFonts w:hint="eastAsia" w:ascii="黑体" w:hAnsi="黑体" w:eastAsia="黑体" w:cs="宋体"/>
          <w:sz w:val="24"/>
          <w:szCs w:val="24"/>
        </w:rPr>
        <w:t>课程目标与毕业要求、课程内容的对应关系</w:t>
      </w:r>
    </w:p>
    <w:p>
      <w:pPr>
        <w:pStyle w:val="2"/>
        <w:numPr>
          <w:ilvl w:val="0"/>
          <w:numId w:val="0"/>
        </w:numPr>
        <w:spacing w:before="156" w:beforeLines="50" w:after="156" w:afterLines="50"/>
        <w:jc w:val="center"/>
        <w:rPr>
          <w:rFonts w:ascii="黑体" w:hAnsi="宋体"/>
          <w:b/>
          <w:bCs/>
          <w:szCs w:val="21"/>
        </w:rPr>
      </w:pPr>
      <w:r>
        <w:rPr>
          <w:rFonts w:hint="eastAsia" w:ascii="黑体" w:hAnsi="宋体"/>
          <w:b/>
          <w:bCs/>
          <w:szCs w:val="21"/>
          <w:lang w:val="en-US" w:eastAsia="zh-CN"/>
        </w:rPr>
        <w:t xml:space="preserve"> </w:t>
      </w:r>
      <w:r>
        <w:rPr>
          <w:rFonts w:hint="eastAsia" w:ascii="黑体" w:hAnsi="宋体"/>
          <w:b/>
          <w:bCs/>
          <w:szCs w:val="21"/>
        </w:rPr>
        <w:t>表1：课程目标与课程内容、毕业要求的对应关系表</w:t>
      </w:r>
    </w:p>
    <w:tbl>
      <w:tblPr>
        <w:tblStyle w:val="6"/>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617"/>
        <w:gridCol w:w="3460"/>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课程目标</w:t>
            </w:r>
          </w:p>
        </w:tc>
        <w:tc>
          <w:tcPr>
            <w:tcW w:w="1617" w:type="dxa"/>
            <w:vAlign w:val="center"/>
          </w:tcPr>
          <w:p>
            <w:pPr>
              <w:pStyle w:val="2"/>
              <w:spacing w:before="156" w:beforeLines="50" w:after="156" w:afterLines="50"/>
              <w:jc w:val="center"/>
              <w:rPr>
                <w:rFonts w:hAnsi="宋体" w:cs="宋体"/>
                <w:b/>
              </w:rPr>
            </w:pPr>
            <w:r>
              <w:rPr>
                <w:rFonts w:hint="eastAsia" w:hAnsi="宋体" w:cs="宋体"/>
                <w:b/>
              </w:rPr>
              <w:t>课程子目标</w:t>
            </w:r>
          </w:p>
        </w:tc>
        <w:tc>
          <w:tcPr>
            <w:tcW w:w="3460"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对应课程内容</w:t>
            </w:r>
          </w:p>
        </w:tc>
        <w:tc>
          <w:tcPr>
            <w:tcW w:w="2688"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对应毕业要求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vAlign w:val="center"/>
          </w:tcPr>
          <w:p>
            <w:pPr>
              <w:pStyle w:val="2"/>
              <w:spacing w:before="156" w:beforeLines="50" w:after="156" w:afterLines="50"/>
              <w:jc w:val="center"/>
              <w:rPr>
                <w:rFonts w:hAnsi="宋体" w:cs="宋体"/>
                <w:szCs w:val="21"/>
              </w:rPr>
            </w:pPr>
            <w:r>
              <w:rPr>
                <w:rFonts w:hint="eastAsia" w:hAnsi="宋体" w:cs="宋体"/>
                <w:szCs w:val="21"/>
              </w:rPr>
              <w:t>课程目标1</w:t>
            </w:r>
          </w:p>
        </w:tc>
        <w:tc>
          <w:tcPr>
            <w:tcW w:w="1617" w:type="dxa"/>
            <w:vAlign w:val="center"/>
          </w:tcPr>
          <w:p>
            <w:pPr>
              <w:pStyle w:val="2"/>
              <w:spacing w:before="156" w:beforeLines="50" w:after="156" w:afterLines="50"/>
              <w:jc w:val="center"/>
              <w:rPr>
                <w:rFonts w:ascii="宋体" w:hAnsi="宋体" w:eastAsia="宋体" w:cs="宋体"/>
                <w:kern w:val="2"/>
                <w:sz w:val="21"/>
                <w:szCs w:val="20"/>
                <w:lang w:val="en-US" w:eastAsia="zh-CN" w:bidi="ar-SA"/>
              </w:rPr>
            </w:pPr>
            <w:r>
              <w:rPr>
                <w:rFonts w:hint="eastAsia" w:hAnsi="宋体" w:cs="宋体"/>
                <w:lang w:val="en-US" w:eastAsia="zh-CN"/>
              </w:rPr>
              <w:t>1</w:t>
            </w:r>
            <w:r>
              <w:rPr>
                <w:rFonts w:hint="eastAsia" w:hAnsi="宋体" w:cs="宋体"/>
              </w:rPr>
              <w:t>.1</w:t>
            </w:r>
          </w:p>
        </w:tc>
        <w:tc>
          <w:tcPr>
            <w:tcW w:w="3460" w:type="dxa"/>
            <w:vAlign w:val="center"/>
          </w:tcPr>
          <w:p>
            <w:pPr>
              <w:pStyle w:val="2"/>
              <w:spacing w:before="156" w:beforeLines="50" w:after="156" w:afterLines="50"/>
              <w:jc w:val="center"/>
              <w:rPr>
                <w:rFonts w:hint="eastAsia" w:ascii="宋体" w:hAnsi="宋体" w:eastAsia="宋体" w:cs="宋体"/>
                <w:kern w:val="2"/>
                <w:sz w:val="21"/>
                <w:szCs w:val="20"/>
                <w:lang w:val="en-US" w:eastAsia="zh-CN" w:bidi="ar-SA"/>
              </w:rPr>
            </w:pPr>
            <w:r>
              <w:rPr>
                <w:rFonts w:hint="eastAsia" w:hAnsi="宋体" w:cs="宋体"/>
                <w:lang w:val="en-US" w:eastAsia="zh-CN"/>
              </w:rPr>
              <w:t>非货币性资产交换的会计处理</w:t>
            </w:r>
          </w:p>
        </w:tc>
        <w:tc>
          <w:tcPr>
            <w:tcW w:w="268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2"/>
                <w:lang w:val="en-US" w:eastAsia="zh-CN" w:bidi="ar-SA"/>
              </w:rPr>
            </w:pPr>
            <w:r>
              <w:rPr>
                <w:rFonts w:ascii="宋体" w:hAnsi="宋体" w:eastAsia="宋体" w:cs="宋体"/>
              </w:rPr>
              <w:t>掌握扎实的学科基础知识和专业知识；建立一套完整的知识体系和框架，培育科学精神和人文精神，塑造和形成自身正确的人生观和价值观，并能够通过常识和科学思维方法进行独立思考</w:t>
            </w:r>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jc w:val="center"/>
        </w:trPr>
        <w:tc>
          <w:tcPr>
            <w:tcW w:w="1302" w:type="dxa"/>
            <w:vMerge w:val="continue"/>
            <w:vAlign w:val="center"/>
          </w:tcPr>
          <w:p>
            <w:pPr>
              <w:pStyle w:val="2"/>
              <w:spacing w:before="156" w:beforeLines="50" w:after="156" w:afterLines="50"/>
              <w:jc w:val="center"/>
              <w:rPr>
                <w:rFonts w:hAnsi="宋体" w:cs="宋体"/>
                <w:szCs w:val="21"/>
              </w:rPr>
            </w:pPr>
          </w:p>
        </w:tc>
        <w:tc>
          <w:tcPr>
            <w:tcW w:w="1617" w:type="dxa"/>
            <w:vAlign w:val="center"/>
          </w:tcPr>
          <w:p>
            <w:pPr>
              <w:pStyle w:val="2"/>
              <w:spacing w:before="156" w:beforeLines="50" w:after="156" w:afterLines="50"/>
              <w:jc w:val="center"/>
              <w:rPr>
                <w:rFonts w:ascii="宋体" w:hAnsi="宋体" w:eastAsia="宋体" w:cs="宋体"/>
                <w:kern w:val="2"/>
                <w:sz w:val="21"/>
                <w:szCs w:val="20"/>
                <w:lang w:val="en-US" w:eastAsia="zh-CN" w:bidi="ar-SA"/>
              </w:rPr>
            </w:pPr>
            <w:r>
              <w:rPr>
                <w:rFonts w:hint="eastAsia" w:hAnsi="宋体" w:cs="宋体"/>
                <w:lang w:val="en-US" w:eastAsia="zh-CN"/>
              </w:rPr>
              <w:t>1</w:t>
            </w:r>
            <w:r>
              <w:rPr>
                <w:rFonts w:hint="eastAsia" w:hAnsi="宋体" w:cs="宋体"/>
              </w:rPr>
              <w:t>.2</w:t>
            </w:r>
          </w:p>
        </w:tc>
        <w:tc>
          <w:tcPr>
            <w:tcW w:w="3460" w:type="dxa"/>
            <w:vAlign w:val="center"/>
          </w:tcPr>
          <w:p>
            <w:pPr>
              <w:pStyle w:val="2"/>
              <w:spacing w:before="156" w:beforeLines="50" w:after="156" w:afterLines="50"/>
              <w:jc w:val="center"/>
              <w:rPr>
                <w:rFonts w:hint="eastAsia" w:ascii="黑体" w:hAnsi="宋体" w:eastAsia="宋体" w:cs="Times New Roman"/>
                <w:b/>
                <w:bCs/>
                <w:kern w:val="2"/>
                <w:sz w:val="21"/>
                <w:szCs w:val="21"/>
                <w:lang w:val="en-US" w:eastAsia="zh-CN" w:bidi="ar-SA"/>
              </w:rPr>
            </w:pPr>
            <w:r>
              <w:rPr>
                <w:rFonts w:hint="eastAsia" w:hAnsi="宋体" w:cs="宋体"/>
                <w:lang w:val="en-US" w:eastAsia="zh-CN"/>
              </w:rPr>
              <w:t>债务重组的会计处理</w:t>
            </w:r>
          </w:p>
        </w:tc>
        <w:tc>
          <w:tcPr>
            <w:tcW w:w="2688" w:type="dxa"/>
            <w:vAlign w:val="center"/>
          </w:tcPr>
          <w:p>
            <w:pPr>
              <w:spacing w:before="156" w:beforeLines="50" w:after="156" w:afterLines="50"/>
              <w:jc w:val="left"/>
              <w:rPr>
                <w:rFonts w:hint="eastAsia" w:ascii="宋体" w:hAnsi="宋体" w:eastAsia="宋体" w:cs="宋体"/>
                <w:kern w:val="2"/>
                <w:sz w:val="21"/>
                <w:szCs w:val="22"/>
                <w:lang w:val="en-US" w:eastAsia="zh-CN" w:bidi="ar-SA"/>
              </w:rPr>
            </w:pPr>
            <w:r>
              <w:rPr>
                <w:rFonts w:ascii="宋体" w:hAnsi="宋体" w:eastAsia="宋体" w:cs="宋体"/>
              </w:rPr>
              <w:t>掌握扎实的学科基础知识和专业知识；建立一套完整的知识体系和框架，培育科学精神和人文精神，塑造和形成自身正确的人生观和价值观，并能够通过常识和科学思维方法进行独立思考</w:t>
            </w:r>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2"/>
              <w:spacing w:before="156" w:beforeLines="50" w:after="156" w:afterLines="50"/>
              <w:jc w:val="center"/>
              <w:rPr>
                <w:rFonts w:hAnsi="宋体" w:cs="宋体"/>
                <w:szCs w:val="21"/>
              </w:rPr>
            </w:pPr>
          </w:p>
        </w:tc>
        <w:tc>
          <w:tcPr>
            <w:tcW w:w="1617" w:type="dxa"/>
            <w:vAlign w:val="center"/>
          </w:tcPr>
          <w:p>
            <w:pPr>
              <w:pStyle w:val="2"/>
              <w:spacing w:before="156" w:beforeLines="50" w:after="156" w:afterLines="50"/>
              <w:jc w:val="center"/>
              <w:rPr>
                <w:rFonts w:hint="eastAsia" w:ascii="宋体" w:hAnsi="宋体" w:eastAsia="宋体" w:cs="宋体"/>
                <w:kern w:val="2"/>
                <w:sz w:val="21"/>
                <w:szCs w:val="20"/>
                <w:lang w:val="en-US" w:eastAsia="zh-CN" w:bidi="ar-SA"/>
              </w:rPr>
            </w:pPr>
            <w:r>
              <w:rPr>
                <w:rFonts w:hint="eastAsia" w:hAnsi="宋体" w:cs="宋体"/>
                <w:lang w:val="en-US" w:eastAsia="zh-CN"/>
              </w:rPr>
              <w:t>1</w:t>
            </w:r>
            <w:r>
              <w:rPr>
                <w:rFonts w:hint="eastAsia" w:hAnsi="宋体" w:cs="宋体"/>
              </w:rPr>
              <w:t>.</w:t>
            </w:r>
            <w:r>
              <w:rPr>
                <w:rFonts w:hint="eastAsia" w:hAnsi="宋体" w:cs="宋体"/>
                <w:lang w:val="en-US" w:eastAsia="zh-CN"/>
              </w:rPr>
              <w:t>3</w:t>
            </w:r>
          </w:p>
        </w:tc>
        <w:tc>
          <w:tcPr>
            <w:tcW w:w="3460" w:type="dxa"/>
            <w:vAlign w:val="center"/>
          </w:tcPr>
          <w:p>
            <w:pPr>
              <w:pStyle w:val="2"/>
              <w:spacing w:before="156" w:beforeLines="50" w:after="156" w:afterLines="50"/>
              <w:jc w:val="center"/>
              <w:rPr>
                <w:rFonts w:hint="eastAsia" w:ascii="黑体" w:hAnsi="宋体" w:eastAsia="宋体" w:cs="Times New Roman"/>
                <w:b w:val="0"/>
                <w:bCs w:val="0"/>
                <w:kern w:val="2"/>
                <w:sz w:val="21"/>
                <w:szCs w:val="21"/>
                <w:lang w:val="en-US" w:eastAsia="zh-CN" w:bidi="ar-SA"/>
              </w:rPr>
            </w:pPr>
            <w:r>
              <w:rPr>
                <w:rFonts w:hint="eastAsia" w:hAnsi="宋体" w:cs="宋体"/>
                <w:lang w:val="en-US" w:eastAsia="zh-CN"/>
              </w:rPr>
              <w:t>租赁的会计处理</w:t>
            </w:r>
          </w:p>
        </w:tc>
        <w:tc>
          <w:tcPr>
            <w:tcW w:w="2688" w:type="dxa"/>
            <w:vAlign w:val="center"/>
          </w:tcPr>
          <w:p>
            <w:pPr>
              <w:spacing w:before="156" w:beforeLines="50" w:after="156" w:afterLines="50"/>
              <w:jc w:val="left"/>
              <w:rPr>
                <w:rFonts w:hint="eastAsia" w:ascii="宋体" w:hAnsi="宋体" w:eastAsia="宋体" w:cs="宋体"/>
                <w:kern w:val="2"/>
                <w:sz w:val="21"/>
                <w:szCs w:val="22"/>
                <w:lang w:val="en-US" w:eastAsia="zh-CN" w:bidi="ar-SA"/>
              </w:rPr>
            </w:pPr>
            <w:r>
              <w:rPr>
                <w:rFonts w:ascii="宋体" w:hAnsi="宋体" w:eastAsia="宋体" w:cs="宋体"/>
              </w:rPr>
              <w:t>掌握扎实的学科基础知识和专业知识；建立一套完整的知识体系和框架，培育科学精神和人文精神，塑造和形成自身正确的人生观和价值观，并能够通过常识和科学思维方法进行独立思考</w:t>
            </w:r>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vAlign w:val="center"/>
          </w:tcPr>
          <w:p>
            <w:pPr>
              <w:pStyle w:val="2"/>
              <w:spacing w:before="156" w:beforeLines="50" w:after="156" w:afterLines="50"/>
              <w:jc w:val="center"/>
              <w:rPr>
                <w:rFonts w:hAnsi="宋体" w:cs="宋体"/>
                <w:szCs w:val="21"/>
              </w:rPr>
            </w:pPr>
            <w:r>
              <w:rPr>
                <w:rFonts w:hint="eastAsia" w:hAnsi="宋体" w:cs="宋体"/>
                <w:szCs w:val="21"/>
              </w:rPr>
              <w:t>课程目标2</w:t>
            </w:r>
          </w:p>
        </w:tc>
        <w:tc>
          <w:tcPr>
            <w:tcW w:w="1617" w:type="dxa"/>
            <w:vAlign w:val="center"/>
          </w:tcPr>
          <w:p>
            <w:pPr>
              <w:pStyle w:val="2"/>
              <w:spacing w:before="156" w:beforeLines="50" w:after="156" w:afterLines="50"/>
              <w:jc w:val="center"/>
              <w:rPr>
                <w:rFonts w:ascii="宋体" w:hAnsi="宋体" w:eastAsia="宋体" w:cs="宋体"/>
                <w:kern w:val="2"/>
                <w:sz w:val="21"/>
                <w:szCs w:val="20"/>
                <w:lang w:val="en-US" w:eastAsia="zh-CN" w:bidi="ar-SA"/>
              </w:rPr>
            </w:pPr>
            <w:r>
              <w:rPr>
                <w:rFonts w:hint="eastAsia" w:hAnsi="宋体" w:cs="宋体"/>
                <w:lang w:val="en-US" w:eastAsia="zh-CN"/>
              </w:rPr>
              <w:t>2</w:t>
            </w:r>
            <w:r>
              <w:rPr>
                <w:rFonts w:hint="eastAsia" w:hAnsi="宋体" w:cs="宋体"/>
              </w:rPr>
              <w:t>.1</w:t>
            </w:r>
          </w:p>
        </w:tc>
        <w:tc>
          <w:tcPr>
            <w:tcW w:w="3460" w:type="dxa"/>
            <w:vAlign w:val="center"/>
          </w:tcPr>
          <w:p>
            <w:pPr>
              <w:pStyle w:val="2"/>
              <w:spacing w:before="156" w:beforeLines="50" w:after="156" w:afterLines="50"/>
              <w:jc w:val="center"/>
              <w:rPr>
                <w:rFonts w:hint="eastAsia" w:ascii="宋体" w:hAnsi="宋体" w:eastAsia="宋体" w:cs="宋体"/>
                <w:kern w:val="2"/>
                <w:sz w:val="21"/>
                <w:szCs w:val="20"/>
                <w:lang w:val="en-US" w:eastAsia="zh-CN" w:bidi="ar-SA"/>
              </w:rPr>
            </w:pPr>
            <w:r>
              <w:rPr>
                <w:rFonts w:hint="eastAsia" w:hAnsi="宋体" w:cs="宋体"/>
                <w:lang w:val="en-US" w:eastAsia="zh-CN"/>
              </w:rPr>
              <w:t>股票期权的会计处理</w:t>
            </w:r>
          </w:p>
        </w:tc>
        <w:tc>
          <w:tcPr>
            <w:tcW w:w="2688" w:type="dxa"/>
            <w:vAlign w:val="center"/>
          </w:tcPr>
          <w:p>
            <w:pPr>
              <w:spacing w:before="156" w:beforeLines="50" w:after="156" w:afterLines="50"/>
              <w:jc w:val="left"/>
              <w:rPr>
                <w:rFonts w:hint="eastAsia" w:ascii="宋体" w:hAnsi="宋体" w:eastAsia="宋体" w:cs="宋体"/>
                <w:kern w:val="2"/>
                <w:sz w:val="21"/>
                <w:szCs w:val="20"/>
                <w:lang w:val="en-US" w:eastAsia="zh-CN" w:bidi="ar-SA"/>
              </w:rPr>
            </w:pPr>
            <w:r>
              <w:rPr>
                <w:rFonts w:ascii="宋体" w:hAnsi="宋体" w:eastAsia="宋体" w:cs="宋体"/>
              </w:rPr>
              <w:t>掌握扎实的学科基础知识和专业知识；建立一套完整的知识体系和框架，培育科学精神和人文精神，塑造和形成自身正确的人生观和价值观，并能够通过常识和科学思维方法进行独立思考</w:t>
            </w:r>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tcBorders/>
            <w:vAlign w:val="center"/>
          </w:tcPr>
          <w:p>
            <w:pPr>
              <w:pStyle w:val="2"/>
              <w:spacing w:before="156" w:beforeLines="50" w:after="156" w:afterLines="50"/>
              <w:jc w:val="center"/>
              <w:rPr>
                <w:rFonts w:hAnsi="宋体" w:cs="宋体"/>
                <w:szCs w:val="21"/>
              </w:rPr>
            </w:pPr>
          </w:p>
        </w:tc>
        <w:tc>
          <w:tcPr>
            <w:tcW w:w="1617" w:type="dxa"/>
            <w:vAlign w:val="center"/>
          </w:tcPr>
          <w:p>
            <w:pPr>
              <w:pStyle w:val="2"/>
              <w:spacing w:before="156" w:beforeLines="50" w:after="156" w:afterLines="50"/>
              <w:jc w:val="center"/>
              <w:rPr>
                <w:rFonts w:ascii="宋体" w:hAnsi="宋体" w:eastAsia="宋体" w:cs="宋体"/>
                <w:kern w:val="2"/>
                <w:sz w:val="21"/>
                <w:szCs w:val="20"/>
                <w:lang w:val="en-US" w:eastAsia="zh-CN" w:bidi="ar-SA"/>
              </w:rPr>
            </w:pPr>
            <w:r>
              <w:rPr>
                <w:rFonts w:hint="eastAsia" w:hAnsi="宋体" w:cs="宋体"/>
                <w:lang w:val="en-US" w:eastAsia="zh-CN"/>
              </w:rPr>
              <w:t>2</w:t>
            </w:r>
            <w:r>
              <w:rPr>
                <w:rFonts w:hint="eastAsia" w:hAnsi="宋体" w:cs="宋体"/>
              </w:rPr>
              <w:t>.2</w:t>
            </w:r>
          </w:p>
        </w:tc>
        <w:tc>
          <w:tcPr>
            <w:tcW w:w="3460" w:type="dxa"/>
            <w:vAlign w:val="center"/>
          </w:tcPr>
          <w:p>
            <w:pPr>
              <w:pStyle w:val="2"/>
              <w:spacing w:before="156" w:beforeLines="50" w:after="156" w:afterLines="50"/>
              <w:jc w:val="center"/>
              <w:rPr>
                <w:rFonts w:hint="eastAsia" w:ascii="宋体" w:hAnsi="宋体" w:eastAsia="宋体" w:cs="宋体"/>
                <w:kern w:val="2"/>
                <w:sz w:val="21"/>
                <w:szCs w:val="20"/>
                <w:lang w:val="en-US" w:eastAsia="zh-CN" w:bidi="ar-SA"/>
              </w:rPr>
            </w:pPr>
            <w:r>
              <w:rPr>
                <w:rFonts w:hint="eastAsia" w:hAnsi="宋体" w:cs="宋体"/>
                <w:lang w:val="en-US" w:eastAsia="zh-CN"/>
              </w:rPr>
              <w:t>限制性股票的会计处理</w:t>
            </w:r>
          </w:p>
        </w:tc>
        <w:tc>
          <w:tcPr>
            <w:tcW w:w="2688" w:type="dxa"/>
            <w:vAlign w:val="center"/>
          </w:tcPr>
          <w:p>
            <w:pPr>
              <w:spacing w:before="156" w:beforeLines="50" w:after="156" w:afterLines="50"/>
              <w:jc w:val="left"/>
              <w:rPr>
                <w:rFonts w:hint="eastAsia" w:ascii="宋体" w:hAnsi="宋体" w:eastAsia="宋体" w:cs="宋体"/>
                <w:kern w:val="2"/>
                <w:sz w:val="21"/>
                <w:szCs w:val="20"/>
                <w:lang w:val="en-US" w:eastAsia="zh-CN" w:bidi="ar-SA"/>
              </w:rPr>
            </w:pPr>
            <w:r>
              <w:rPr>
                <w:rFonts w:ascii="宋体" w:hAnsi="宋体" w:eastAsia="宋体" w:cs="宋体"/>
              </w:rPr>
              <w:t>掌握扎实的学科基础知识和专业知识；建立一套完整的知识体系和框架，培育科学精神和人文精神，塑造和形成自身正确的人生观和价值观，并能够通过常识和科学思维方法进行独立思考</w:t>
            </w:r>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tcBorders/>
            <w:vAlign w:val="center"/>
          </w:tcPr>
          <w:p>
            <w:pPr>
              <w:pStyle w:val="2"/>
              <w:spacing w:before="156" w:beforeLines="50" w:after="156" w:afterLines="50"/>
              <w:jc w:val="center"/>
              <w:rPr>
                <w:rFonts w:hAnsi="宋体" w:cs="宋体"/>
                <w:szCs w:val="21"/>
              </w:rPr>
            </w:pPr>
          </w:p>
        </w:tc>
        <w:tc>
          <w:tcPr>
            <w:tcW w:w="1617" w:type="dxa"/>
            <w:vAlign w:val="center"/>
          </w:tcPr>
          <w:p>
            <w:pPr>
              <w:pStyle w:val="2"/>
              <w:spacing w:before="156" w:beforeLines="50" w:after="156" w:afterLines="50"/>
              <w:jc w:val="center"/>
              <w:rPr>
                <w:rFonts w:hint="eastAsia" w:hAnsi="宋体" w:eastAsia="宋体" w:cs="宋体"/>
                <w:lang w:val="en-US" w:eastAsia="zh-CN"/>
              </w:rPr>
            </w:pPr>
            <w:r>
              <w:rPr>
                <w:rFonts w:hint="eastAsia" w:hAnsi="宋体" w:cs="宋体"/>
                <w:lang w:val="en-US" w:eastAsia="zh-CN"/>
              </w:rPr>
              <w:t>2</w:t>
            </w:r>
            <w:r>
              <w:rPr>
                <w:rFonts w:hint="eastAsia" w:hAnsi="宋体" w:cs="宋体"/>
              </w:rPr>
              <w:t>.</w:t>
            </w:r>
            <w:r>
              <w:rPr>
                <w:rFonts w:hint="eastAsia" w:hAnsi="宋体" w:cs="宋体"/>
                <w:lang w:val="en-US" w:eastAsia="zh-CN"/>
              </w:rPr>
              <w:t>3</w:t>
            </w:r>
          </w:p>
        </w:tc>
        <w:tc>
          <w:tcPr>
            <w:tcW w:w="3460" w:type="dxa"/>
            <w:vAlign w:val="center"/>
          </w:tcPr>
          <w:p>
            <w:pPr>
              <w:pStyle w:val="2"/>
              <w:spacing w:before="156" w:beforeLines="50" w:after="156" w:afterLines="50"/>
              <w:jc w:val="center"/>
              <w:rPr>
                <w:rFonts w:hint="eastAsia" w:hAnsi="宋体" w:cs="宋体"/>
                <w:lang w:val="en-US" w:eastAsia="zh-CN"/>
              </w:rPr>
            </w:pPr>
            <w:r>
              <w:rPr>
                <w:rFonts w:hint="eastAsia" w:hAnsi="宋体" w:cs="宋体"/>
                <w:lang w:val="en-US" w:eastAsia="zh-CN"/>
              </w:rPr>
              <w:t>现金股票增值权的会计处理</w:t>
            </w:r>
          </w:p>
        </w:tc>
        <w:tc>
          <w:tcPr>
            <w:tcW w:w="2688" w:type="dxa"/>
            <w:vAlign w:val="center"/>
          </w:tcPr>
          <w:p>
            <w:pPr>
              <w:spacing w:before="156" w:beforeLines="50" w:after="156" w:afterLines="50"/>
              <w:jc w:val="left"/>
              <w:rPr>
                <w:rFonts w:hint="eastAsia" w:ascii="宋体" w:hAnsi="宋体" w:eastAsia="宋体" w:cs="宋体"/>
                <w:lang w:eastAsia="zh-CN"/>
              </w:rPr>
            </w:pPr>
            <w:r>
              <w:rPr>
                <w:rFonts w:ascii="宋体" w:hAnsi="宋体" w:eastAsia="宋体" w:cs="宋体"/>
              </w:rPr>
              <w:t>掌握扎实的学科基础知识和专业知识；建立一套完整的知识体系和框架，培育科学精神和人文精神，塑造和形成自身正确的人生观和价值观，并能够通过常识和科学思维方法进行独立思考</w:t>
            </w:r>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vAlign w:val="center"/>
          </w:tcPr>
          <w:p>
            <w:pPr>
              <w:pStyle w:val="2"/>
              <w:spacing w:before="156" w:beforeLines="50" w:after="156" w:afterLines="50"/>
              <w:jc w:val="center"/>
              <w:rPr>
                <w:rFonts w:hAnsi="宋体" w:cs="宋体"/>
                <w:szCs w:val="21"/>
              </w:rPr>
            </w:pPr>
            <w:r>
              <w:rPr>
                <w:rFonts w:hint="eastAsia" w:hAnsi="宋体" w:cs="宋体"/>
                <w:szCs w:val="21"/>
              </w:rPr>
              <w:t>课程目标3</w:t>
            </w:r>
          </w:p>
        </w:tc>
        <w:tc>
          <w:tcPr>
            <w:tcW w:w="1617" w:type="dxa"/>
            <w:vAlign w:val="center"/>
          </w:tcPr>
          <w:p>
            <w:pPr>
              <w:pStyle w:val="2"/>
              <w:spacing w:before="156" w:beforeLines="50" w:after="156" w:afterLines="50"/>
              <w:jc w:val="center"/>
              <w:rPr>
                <w:rFonts w:hint="default" w:hAnsi="宋体" w:eastAsia="宋体" w:cs="宋体"/>
                <w:lang w:val="en-US" w:eastAsia="zh-CN"/>
              </w:rPr>
            </w:pPr>
            <w:r>
              <w:rPr>
                <w:rFonts w:hint="eastAsia" w:hAnsi="宋体" w:cs="宋体"/>
                <w:szCs w:val="21"/>
                <w:lang w:val="en-US" w:eastAsia="zh-CN"/>
              </w:rPr>
              <w:t>3.1</w:t>
            </w:r>
          </w:p>
        </w:tc>
        <w:tc>
          <w:tcPr>
            <w:tcW w:w="3460" w:type="dxa"/>
            <w:vAlign w:val="center"/>
          </w:tcPr>
          <w:p>
            <w:pPr>
              <w:pStyle w:val="2"/>
              <w:spacing w:before="156" w:beforeLines="50" w:after="156" w:afterLines="50"/>
              <w:jc w:val="center"/>
              <w:rPr>
                <w:rFonts w:hint="eastAsia" w:ascii="黑体" w:hAnsi="宋体" w:eastAsia="宋体"/>
                <w:b/>
                <w:bCs/>
                <w:szCs w:val="21"/>
                <w:lang w:eastAsia="zh-CN"/>
              </w:rPr>
            </w:pPr>
            <w:r>
              <w:rPr>
                <w:rFonts w:hint="eastAsia" w:hAnsi="宋体" w:cs="宋体"/>
                <w:lang w:val="en-US" w:eastAsia="zh-CN"/>
              </w:rPr>
              <w:t>暂时性差异的分类</w:t>
            </w:r>
          </w:p>
        </w:tc>
        <w:tc>
          <w:tcPr>
            <w:tcW w:w="2688" w:type="dxa"/>
            <w:vAlign w:val="center"/>
          </w:tcPr>
          <w:p>
            <w:pPr>
              <w:spacing w:before="156" w:beforeLines="50" w:after="156" w:afterLines="50"/>
              <w:jc w:val="left"/>
              <w:rPr>
                <w:rFonts w:hint="eastAsia" w:ascii="宋体" w:hAnsi="宋体" w:eastAsia="宋体" w:cs="宋体"/>
              </w:rPr>
            </w:pPr>
            <w:r>
              <w:rPr>
                <w:rFonts w:ascii="宋体" w:hAnsi="宋体" w:eastAsia="宋体" w:cs="宋体"/>
              </w:rPr>
              <w:t>掌握扎实的学科基础知识和专业知识；建立一套完整的知识体系和框架，培育科学精神和人文精神，塑造和形成自身正确的人生观和价值观，并能够通过常识和科学思维方法进行独立思考</w:t>
            </w:r>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2"/>
              <w:spacing w:before="156" w:beforeLines="50" w:after="156" w:afterLines="50"/>
              <w:jc w:val="center"/>
              <w:rPr>
                <w:rFonts w:hAnsi="宋体" w:cs="宋体"/>
                <w:szCs w:val="21"/>
              </w:rPr>
            </w:pPr>
          </w:p>
        </w:tc>
        <w:tc>
          <w:tcPr>
            <w:tcW w:w="1617" w:type="dxa"/>
            <w:vAlign w:val="center"/>
          </w:tcPr>
          <w:p>
            <w:pPr>
              <w:pStyle w:val="2"/>
              <w:spacing w:before="156" w:beforeLines="50" w:after="156" w:afterLines="50"/>
              <w:jc w:val="center"/>
              <w:rPr>
                <w:rFonts w:hint="default" w:hAnsi="宋体" w:eastAsia="宋体" w:cs="宋体"/>
                <w:lang w:val="en-US" w:eastAsia="zh-CN"/>
              </w:rPr>
            </w:pPr>
            <w:r>
              <w:rPr>
                <w:rFonts w:hint="eastAsia" w:hAnsi="宋体" w:cs="宋体"/>
                <w:szCs w:val="21"/>
                <w:lang w:val="en-US" w:eastAsia="zh-CN"/>
              </w:rPr>
              <w:t>3.2</w:t>
            </w:r>
          </w:p>
        </w:tc>
        <w:tc>
          <w:tcPr>
            <w:tcW w:w="3460" w:type="dxa"/>
            <w:vAlign w:val="center"/>
          </w:tcPr>
          <w:p>
            <w:pPr>
              <w:pStyle w:val="2"/>
              <w:spacing w:before="156" w:beforeLines="50" w:after="156" w:afterLines="50"/>
              <w:jc w:val="center"/>
              <w:rPr>
                <w:rFonts w:ascii="黑体" w:hAnsi="宋体"/>
                <w:b/>
                <w:bCs/>
                <w:szCs w:val="21"/>
              </w:rPr>
            </w:pPr>
            <w:r>
              <w:rPr>
                <w:rFonts w:hint="eastAsia" w:hAnsi="宋体" w:cs="宋体"/>
                <w:lang w:val="en-US" w:eastAsia="zh-CN"/>
              </w:rPr>
              <w:t>暂时性差异的会计处理</w:t>
            </w:r>
          </w:p>
        </w:tc>
        <w:tc>
          <w:tcPr>
            <w:tcW w:w="2688" w:type="dxa"/>
            <w:vAlign w:val="center"/>
          </w:tcPr>
          <w:p>
            <w:pPr>
              <w:spacing w:before="156" w:beforeLines="50" w:after="156" w:afterLines="50"/>
              <w:jc w:val="left"/>
              <w:rPr>
                <w:rFonts w:hint="eastAsia" w:ascii="宋体" w:hAnsi="宋体" w:eastAsia="宋体" w:cs="宋体"/>
              </w:rPr>
            </w:pPr>
            <w:r>
              <w:rPr>
                <w:rFonts w:hint="eastAsia" w:ascii="宋体" w:hAnsi="宋体" w:eastAsia="宋体" w:cs="宋体"/>
              </w:rPr>
              <w:t>具备利用专业知识分析和解决会计实际问题的基本能力；</w:t>
            </w:r>
            <w:r>
              <w:rPr>
                <w:rFonts w:ascii="宋体" w:hAnsi="宋体" w:eastAsia="宋体" w:cs="宋体"/>
              </w:rPr>
              <w:t>具有自主学习和终身学习的意识，有不断学习和适应发展的能力。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vAlign w:val="center"/>
          </w:tcPr>
          <w:p>
            <w:pPr>
              <w:pStyle w:val="2"/>
              <w:spacing w:before="156" w:beforeLines="50" w:after="156" w:afterLines="50"/>
              <w:jc w:val="center"/>
              <w:rPr>
                <w:rFonts w:hAnsi="宋体" w:cs="宋体"/>
                <w:szCs w:val="21"/>
              </w:rPr>
            </w:pPr>
            <w:r>
              <w:rPr>
                <w:rFonts w:hint="eastAsia" w:hAnsi="宋体" w:cs="宋体"/>
                <w:szCs w:val="21"/>
              </w:rPr>
              <w:t>课程目标</w:t>
            </w:r>
            <w:r>
              <w:rPr>
                <w:rFonts w:hint="eastAsia" w:hAnsi="宋体" w:cs="宋体"/>
                <w:szCs w:val="21"/>
                <w:lang w:val="en-US" w:eastAsia="zh-CN"/>
              </w:rPr>
              <w:t>4</w:t>
            </w:r>
          </w:p>
        </w:tc>
        <w:tc>
          <w:tcPr>
            <w:tcW w:w="1617" w:type="dxa"/>
            <w:vAlign w:val="center"/>
          </w:tcPr>
          <w:p>
            <w:pPr>
              <w:spacing w:before="156" w:beforeLines="50" w:after="156" w:afterLines="50"/>
              <w:jc w:val="center"/>
              <w:rPr>
                <w:rFonts w:hint="eastAsia" w:ascii="宋体" w:hAnsi="宋体" w:eastAsia="宋体" w:cs="宋体"/>
                <w:szCs w:val="21"/>
                <w:lang w:val="en-US" w:eastAsia="zh-CN"/>
              </w:rPr>
            </w:pPr>
            <w:r>
              <w:rPr>
                <w:rFonts w:hint="eastAsia" w:ascii="宋体" w:hAnsi="宋体" w:eastAsia="宋体" w:cs="宋体"/>
                <w:szCs w:val="21"/>
                <w:lang w:val="en-US" w:eastAsia="zh-CN"/>
              </w:rPr>
              <w:t>4.1</w:t>
            </w:r>
          </w:p>
        </w:tc>
        <w:tc>
          <w:tcPr>
            <w:tcW w:w="3460" w:type="dxa"/>
            <w:vAlign w:val="center"/>
          </w:tcPr>
          <w:p>
            <w:pPr>
              <w:pStyle w:val="2"/>
              <w:spacing w:before="156" w:beforeLines="50" w:after="156" w:afterLines="50"/>
              <w:jc w:val="center"/>
              <w:rPr>
                <w:rFonts w:hint="eastAsia" w:hAnsi="宋体" w:cs="宋体"/>
                <w:lang w:val="en-US" w:eastAsia="zh-CN"/>
              </w:rPr>
            </w:pPr>
            <w:r>
              <w:rPr>
                <w:rFonts w:hint="eastAsia" w:hAnsi="宋体" w:cs="宋体"/>
                <w:lang w:val="en-US" w:eastAsia="zh-CN"/>
              </w:rPr>
              <w:t>同一控制和非同一控制下合并财务报表的连续编制</w:t>
            </w:r>
          </w:p>
        </w:tc>
        <w:tc>
          <w:tcPr>
            <w:tcW w:w="2688" w:type="dxa"/>
            <w:vAlign w:val="center"/>
          </w:tcPr>
          <w:p>
            <w:pPr>
              <w:spacing w:before="156" w:beforeLines="50" w:after="156" w:afterLines="50"/>
              <w:jc w:val="left"/>
              <w:rPr>
                <w:rFonts w:hint="eastAsia" w:ascii="宋体" w:hAnsi="宋体" w:eastAsia="宋体" w:cs="宋体"/>
              </w:rPr>
            </w:pPr>
            <w:r>
              <w:rPr>
                <w:rFonts w:ascii="宋体" w:hAnsi="宋体" w:eastAsia="宋体" w:cs="宋体"/>
              </w:rPr>
              <w:t>掌握扎实的学科基础知识和专业知识；建立一套完整的知识体系和框架，培育科学精神和人文精神，塑造和形成自身正确的人生观和价值观，并能够通过常识和科学思维方法进行独立思考</w:t>
            </w:r>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tcBorders/>
            <w:vAlign w:val="center"/>
          </w:tcPr>
          <w:p>
            <w:pPr>
              <w:pStyle w:val="2"/>
              <w:spacing w:before="156" w:beforeLines="50" w:after="156" w:afterLines="50"/>
              <w:jc w:val="center"/>
              <w:rPr>
                <w:rFonts w:hAnsi="宋体" w:cs="宋体"/>
                <w:szCs w:val="21"/>
              </w:rPr>
            </w:pPr>
          </w:p>
        </w:tc>
        <w:tc>
          <w:tcPr>
            <w:tcW w:w="1617" w:type="dxa"/>
            <w:vAlign w:val="center"/>
          </w:tcPr>
          <w:p>
            <w:pPr>
              <w:spacing w:before="156" w:beforeLines="50" w:after="156" w:afterLines="50"/>
              <w:jc w:val="center"/>
              <w:rPr>
                <w:rFonts w:hint="eastAsia" w:ascii="宋体" w:hAnsi="宋体" w:eastAsia="宋体" w:cs="宋体"/>
                <w:szCs w:val="21"/>
                <w:lang w:val="en-US" w:eastAsia="zh-CN"/>
              </w:rPr>
            </w:pPr>
            <w:r>
              <w:rPr>
                <w:rFonts w:hint="eastAsia" w:ascii="宋体" w:hAnsi="宋体" w:eastAsia="宋体" w:cs="宋体"/>
                <w:szCs w:val="21"/>
                <w:lang w:val="en-US" w:eastAsia="zh-CN"/>
              </w:rPr>
              <w:t>4.2</w:t>
            </w:r>
          </w:p>
        </w:tc>
        <w:tc>
          <w:tcPr>
            <w:tcW w:w="3460" w:type="dxa"/>
            <w:vAlign w:val="center"/>
          </w:tcPr>
          <w:p>
            <w:pPr>
              <w:pStyle w:val="2"/>
              <w:spacing w:before="156" w:beforeLines="50" w:after="156" w:afterLines="50"/>
              <w:jc w:val="center"/>
              <w:rPr>
                <w:rFonts w:hint="eastAsia" w:hAnsi="宋体" w:cs="宋体"/>
                <w:lang w:val="en-US" w:eastAsia="zh-CN"/>
              </w:rPr>
            </w:pPr>
            <w:r>
              <w:rPr>
                <w:rFonts w:hint="eastAsia" w:hAnsi="宋体" w:cs="宋体"/>
                <w:lang w:val="en-US" w:eastAsia="zh-CN"/>
              </w:rPr>
              <w:t>不同种类内部交易的抵销分录编制</w:t>
            </w:r>
          </w:p>
        </w:tc>
        <w:tc>
          <w:tcPr>
            <w:tcW w:w="2688" w:type="dxa"/>
            <w:vAlign w:val="center"/>
          </w:tcPr>
          <w:p>
            <w:pPr>
              <w:spacing w:before="156" w:beforeLines="50" w:after="156" w:afterLines="50"/>
              <w:jc w:val="left"/>
              <w:rPr>
                <w:rFonts w:hint="eastAsia" w:ascii="宋体" w:hAnsi="宋体" w:eastAsia="宋体" w:cs="宋体"/>
              </w:rPr>
            </w:pPr>
            <w:r>
              <w:rPr>
                <w:rFonts w:hint="eastAsia" w:ascii="宋体" w:hAnsi="宋体" w:eastAsia="宋体" w:cs="宋体"/>
              </w:rPr>
              <w:t>具备利用专业知识分析和解决会计实际问题的基本能力；</w:t>
            </w:r>
            <w:r>
              <w:rPr>
                <w:rFonts w:ascii="宋体" w:hAnsi="宋体" w:eastAsia="宋体" w:cs="宋体"/>
              </w:rPr>
              <w:t>具有自主学习和终身学习的意识，有不断学习和适应发展的能力。</w:t>
            </w:r>
          </w:p>
        </w:tc>
      </w:tr>
    </w:tbl>
    <w:p>
      <w:pPr>
        <w:widowControl/>
        <w:numPr>
          <w:ilvl w:val="0"/>
          <w:numId w:val="2"/>
        </w:numPr>
        <w:spacing w:before="156" w:beforeLines="50" w:after="156" w:afterLines="50"/>
        <w:ind w:firstLine="562" w:firstLineChars="200"/>
        <w:jc w:val="left"/>
        <w:rPr>
          <w:rFonts w:hint="eastAsia" w:ascii="黑体" w:hAnsi="黑体" w:eastAsia="黑体"/>
          <w:b/>
          <w:sz w:val="28"/>
          <w:szCs w:val="28"/>
        </w:rPr>
      </w:pPr>
      <w:r>
        <w:rPr>
          <w:rFonts w:hint="eastAsia" w:ascii="黑体" w:hAnsi="黑体" w:eastAsia="黑体"/>
          <w:b/>
          <w:sz w:val="28"/>
          <w:szCs w:val="28"/>
        </w:rPr>
        <w:t>教学内容</w:t>
      </w:r>
    </w:p>
    <w:p>
      <w:pPr>
        <w:widowControl/>
        <w:numPr>
          <w:ilvl w:val="0"/>
          <w:numId w:val="0"/>
        </w:numPr>
        <w:spacing w:before="156" w:beforeLines="50" w:after="156" w:afterLines="50"/>
        <w:jc w:val="left"/>
      </w:pPr>
      <w:r>
        <w:rPr>
          <w:rFonts w:hint="eastAsia" w:ascii="黑体" w:hAnsi="黑体" w:eastAsia="黑体" w:cs="Times New Roman"/>
          <w:b/>
          <w:sz w:val="24"/>
          <w:szCs w:val="24"/>
          <w:lang w:val="en-US" w:eastAsia="zh-CN"/>
        </w:rPr>
        <w:t xml:space="preserve">  </w:t>
      </w:r>
      <w:r>
        <w:rPr>
          <w:rFonts w:hint="eastAsia" w:ascii="黑体" w:hAnsi="黑体" w:eastAsia="黑体" w:cs="Times New Roman"/>
          <w:b/>
          <w:sz w:val="24"/>
          <w:szCs w:val="24"/>
        </w:rPr>
        <w:t xml:space="preserve">第一章 </w:t>
      </w:r>
      <w:r>
        <w:rPr>
          <w:rFonts w:hint="eastAsia" w:ascii="黑体" w:hAnsi="黑体" w:eastAsia="黑体" w:cs="Times New Roman"/>
          <w:b/>
          <w:sz w:val="24"/>
          <w:szCs w:val="24"/>
          <w:lang w:val="en-US" w:eastAsia="zh-CN"/>
        </w:rPr>
        <w:t>非货币性资产交换</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ascii="宋体" w:hAnsi="宋体" w:eastAsia="宋体" w:cs="TimesNewRomanPSMT"/>
          <w:color w:val="000000"/>
          <w:kern w:val="0"/>
          <w:szCs w:val="21"/>
        </w:rPr>
        <w:t>1.</w:t>
      </w:r>
      <w:r>
        <w:rPr>
          <w:rFonts w:hint="eastAsia" w:ascii="宋体" w:hAnsi="宋体" w:eastAsia="宋体" w:cs="宋体"/>
          <w:color w:val="000000"/>
          <w:kern w:val="0"/>
          <w:szCs w:val="21"/>
        </w:rPr>
        <w:t>教学目标</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1</w:t>
      </w:r>
      <w:r>
        <w:rPr>
          <w:rFonts w:hint="eastAsia" w:ascii="宋体" w:hAnsi="宋体" w:eastAsia="宋体" w:cs="宋体"/>
          <w:color w:val="000000"/>
          <w:kern w:val="0"/>
          <w:szCs w:val="21"/>
          <w:lang w:eastAsia="zh-CN"/>
        </w:rPr>
        <w:t>）理解</w:t>
      </w:r>
      <w:r>
        <w:rPr>
          <w:rFonts w:hint="eastAsia" w:ascii="宋体" w:hAnsi="宋体" w:eastAsia="宋体" w:cs="宋体"/>
          <w:color w:val="000000"/>
          <w:kern w:val="0"/>
          <w:szCs w:val="21"/>
          <w:lang w:val="en-US" w:eastAsia="zh-CN"/>
        </w:rPr>
        <w:t>货币性资产和非货币性资产的区别</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2</w:t>
      </w:r>
      <w:r>
        <w:rPr>
          <w:rFonts w:hint="eastAsia" w:ascii="宋体" w:hAnsi="宋体" w:eastAsia="宋体" w:cs="宋体"/>
          <w:color w:val="000000"/>
          <w:kern w:val="0"/>
          <w:szCs w:val="21"/>
          <w:lang w:eastAsia="zh-CN"/>
        </w:rPr>
        <w:t>）理解</w:t>
      </w:r>
      <w:r>
        <w:rPr>
          <w:rFonts w:hint="eastAsia" w:ascii="宋体" w:hAnsi="宋体" w:eastAsia="宋体" w:cs="宋体"/>
          <w:color w:val="000000"/>
          <w:kern w:val="0"/>
          <w:szCs w:val="21"/>
          <w:lang w:val="en-US" w:eastAsia="zh-CN"/>
        </w:rPr>
        <w:t>非货币性资产交换的定义</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3</w:t>
      </w:r>
      <w:r>
        <w:rPr>
          <w:rFonts w:hint="eastAsia" w:ascii="宋体" w:hAnsi="宋体" w:eastAsia="宋体" w:cs="宋体"/>
          <w:color w:val="000000"/>
          <w:kern w:val="0"/>
          <w:szCs w:val="21"/>
          <w:lang w:eastAsia="zh-CN"/>
        </w:rPr>
        <w:t>）知晓</w:t>
      </w:r>
      <w:r>
        <w:rPr>
          <w:rFonts w:hint="eastAsia" w:ascii="宋体" w:hAnsi="宋体" w:eastAsia="宋体" w:cs="宋体"/>
          <w:color w:val="000000"/>
          <w:kern w:val="0"/>
          <w:szCs w:val="21"/>
          <w:lang w:val="en-US" w:eastAsia="zh-CN"/>
        </w:rPr>
        <w:t>非货币性资产交换的会计处理原则</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4）掌握“一换一”以及“多换多”等非货币性资产交换不同形式下的会计处理</w:t>
      </w:r>
      <w:r>
        <w:rPr>
          <w:rFonts w:hint="eastAsia" w:ascii="宋体" w:hAnsi="宋体" w:eastAsia="宋体" w:cs="宋体"/>
          <w:color w:val="000000"/>
          <w:kern w:val="0"/>
          <w:szCs w:val="21"/>
          <w:lang w:eastAsia="zh-CN"/>
        </w:rPr>
        <w:t>。</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（1）非货币性交换的两种计量基础；</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2）非货币性资产交换会计处理时损益的确认；（3）多换多方式下非货币性资产交换会计分录的框架搭建以及金额的确认。</w:t>
      </w:r>
    </w:p>
    <w:p>
      <w:pPr>
        <w:widowControl/>
        <w:spacing w:before="156" w:beforeLines="50" w:after="156" w:afterLines="50"/>
        <w:ind w:firstLine="420" w:firstLineChars="200"/>
        <w:jc w:val="left"/>
        <w:rPr>
          <w:rFonts w:hint="default" w:ascii="宋体" w:hAnsi="宋体" w:eastAsia="宋体"/>
          <w:szCs w:val="21"/>
          <w:lang w:val="en-US" w:eastAsia="zh-CN"/>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（1）货币性资产和非货币性资产的定义；（2）非货币性交换的两种计量基础；</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3）公允价值计量基础下非货币性资产交换的会计处理；（4）账面价值计量基础下非货币性资产交换的会计处理。</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ascii="宋体" w:hAnsi="宋体" w:eastAsia="宋体" w:cs="TimesNewRomanPSMT"/>
          <w:color w:val="000000"/>
          <w:kern w:val="0"/>
          <w:szCs w:val="21"/>
        </w:rPr>
        <w:t>4.</w:t>
      </w:r>
      <w:r>
        <w:rPr>
          <w:rFonts w:hint="eastAsia" w:ascii="宋体" w:hAnsi="宋体" w:eastAsia="宋体" w:cs="宋体"/>
          <w:color w:val="000000"/>
          <w:kern w:val="0"/>
          <w:szCs w:val="21"/>
        </w:rPr>
        <w:t>教学方法</w:t>
      </w:r>
      <w:r>
        <w:rPr>
          <w:rFonts w:hint="eastAsia" w:ascii="宋体" w:hAnsi="宋体" w:eastAsia="宋体" w:cs="宋体"/>
          <w:color w:val="000000"/>
          <w:kern w:val="0"/>
          <w:szCs w:val="21"/>
          <w:lang w:eastAsia="zh-CN"/>
        </w:rPr>
        <w:t>：讲授、讨论、案例分析。</w:t>
      </w:r>
    </w:p>
    <w:p>
      <w:pPr>
        <w:widowControl/>
        <w:spacing w:before="156" w:beforeLines="50" w:after="156" w:afterLines="50"/>
        <w:ind w:firstLine="420" w:firstLineChars="200"/>
        <w:jc w:val="left"/>
        <w:rPr>
          <w:rFonts w:hint="default" w:ascii="宋体" w:hAnsi="宋体" w:eastAsia="宋体" w:cs="TimesNewRomanPSMT"/>
          <w:color w:val="000000"/>
          <w:kern w:val="0"/>
          <w:szCs w:val="21"/>
          <w:lang w:val="en-US" w:eastAsia="zh-CN"/>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r>
        <w:rPr>
          <w:rFonts w:hint="eastAsia" w:ascii="宋体" w:hAnsi="宋体" w:eastAsia="宋体" w:cs="TimesNewRomanPSMT"/>
          <w:color w:val="000000"/>
          <w:kern w:val="0"/>
          <w:szCs w:val="21"/>
          <w:lang w:eastAsia="zh-CN"/>
        </w:rPr>
        <w:t>：</w:t>
      </w:r>
      <w:r>
        <w:rPr>
          <w:rFonts w:hint="eastAsia" w:ascii="宋体" w:hAnsi="宋体" w:eastAsia="宋体" w:cs="TimesNewRomanPSMT"/>
          <w:color w:val="000000"/>
          <w:kern w:val="0"/>
          <w:szCs w:val="21"/>
          <w:lang w:val="en-US" w:eastAsia="zh-CN"/>
        </w:rPr>
        <w:t>熟读《企业会计准则第7号——非货币性资产交换》应用指南，了解基本的会计处理原则。</w:t>
      </w:r>
    </w:p>
    <w:p>
      <w:pPr>
        <w:widowControl/>
        <w:spacing w:before="156" w:beforeLines="50" w:after="156" w:afterLines="50"/>
        <w:ind w:firstLine="482" w:firstLineChars="200"/>
        <w:jc w:val="left"/>
        <w:rPr>
          <w:rFonts w:ascii="TimesNewRomanPSMT" w:hAnsi="TimesNewRomanPSMT" w:cs="TimesNewRomanPSMT"/>
          <w:color w:val="000000"/>
          <w:kern w:val="0"/>
          <w:sz w:val="20"/>
          <w:szCs w:val="20"/>
        </w:rPr>
      </w:pPr>
      <w:r>
        <w:rPr>
          <w:rFonts w:hint="eastAsia" w:ascii="黑体" w:hAnsi="黑体" w:eastAsia="黑体" w:cs="Times New Roman"/>
          <w:b/>
          <w:sz w:val="24"/>
          <w:szCs w:val="24"/>
        </w:rPr>
        <w:t xml:space="preserve">第二章 </w:t>
      </w:r>
      <w:r>
        <w:rPr>
          <w:rFonts w:hint="eastAsia" w:ascii="黑体" w:hAnsi="黑体" w:eastAsia="黑体" w:cs="Times New Roman"/>
          <w:b/>
          <w:sz w:val="24"/>
          <w:szCs w:val="24"/>
          <w:lang w:val="en-US" w:eastAsia="zh-CN"/>
        </w:rPr>
        <w:t>债务重组</w:t>
      </w:r>
      <w:r>
        <w:rPr>
          <w:rFonts w:hint="eastAsia" w:ascii="黑体" w:hAnsi="黑体" w:eastAsia="黑体" w:cs="Times New Roman"/>
          <w:b/>
          <w:sz w:val="24"/>
          <w:szCs w:val="24"/>
        </w:rPr>
        <w:t xml:space="preserve"> </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ascii="宋体" w:hAnsi="宋体" w:eastAsia="宋体" w:cs="TimesNewRomanPSMT"/>
          <w:color w:val="000000"/>
          <w:kern w:val="0"/>
          <w:szCs w:val="21"/>
        </w:rPr>
        <w:t>1.</w:t>
      </w:r>
      <w:r>
        <w:rPr>
          <w:rFonts w:hint="eastAsia" w:ascii="宋体" w:hAnsi="宋体" w:eastAsia="宋体" w:cs="宋体"/>
          <w:color w:val="000000"/>
          <w:kern w:val="0"/>
          <w:szCs w:val="21"/>
        </w:rPr>
        <w:t>教学目标</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w:t>
      </w:r>
      <w:r>
        <w:rPr>
          <w:rFonts w:hint="default" w:ascii="宋体" w:hAnsi="宋体" w:eastAsia="宋体" w:cs="宋体"/>
          <w:color w:val="000000"/>
          <w:kern w:val="0"/>
          <w:szCs w:val="21"/>
          <w:lang w:val="en-US" w:eastAsia="zh-CN"/>
        </w:rPr>
        <w:t>1</w:t>
      </w:r>
      <w:r>
        <w:rPr>
          <w:rFonts w:hint="eastAsia" w:ascii="宋体" w:hAnsi="宋体" w:eastAsia="宋体" w:cs="宋体"/>
          <w:color w:val="000000"/>
          <w:kern w:val="0"/>
          <w:szCs w:val="21"/>
          <w:lang w:val="en-US" w:eastAsia="zh-CN"/>
        </w:rPr>
        <w:t>）了解债务重组的定义；（2）知晓债务重组的形式；（3）掌握债务重组的会计处理。</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1）债务重组的形式；（2）不同债务重组方式下的会计处理原则；（3）债务人和债权人的会计处理。</w:t>
      </w:r>
    </w:p>
    <w:p>
      <w:pPr>
        <w:widowControl/>
        <w:spacing w:before="156" w:beforeLines="50" w:after="156" w:afterLines="50"/>
        <w:ind w:firstLine="420" w:firstLineChars="200"/>
        <w:jc w:val="left"/>
        <w:rPr>
          <w:rFonts w:hint="default" w:ascii="宋体" w:hAnsi="宋体" w:eastAsia="宋体"/>
          <w:szCs w:val="21"/>
          <w:lang w:val="en-US" w:eastAsia="zh-CN"/>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1）债务重组的定义和形式；（2）债务人的会计处理；（3）债权人的会计处理。</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ascii="宋体" w:hAnsi="宋体" w:eastAsia="宋体" w:cs="TimesNewRomanPSMT"/>
          <w:color w:val="000000"/>
          <w:kern w:val="0"/>
          <w:szCs w:val="21"/>
        </w:rPr>
        <w:t>4.</w:t>
      </w:r>
      <w:r>
        <w:rPr>
          <w:rFonts w:hint="eastAsia" w:ascii="宋体" w:hAnsi="宋体" w:eastAsia="宋体" w:cs="宋体"/>
          <w:color w:val="000000"/>
          <w:kern w:val="0"/>
          <w:szCs w:val="21"/>
        </w:rPr>
        <w:t>教学方法</w:t>
      </w:r>
      <w:r>
        <w:rPr>
          <w:rFonts w:hint="eastAsia" w:ascii="宋体" w:hAnsi="宋体" w:eastAsia="宋体" w:cs="宋体"/>
          <w:color w:val="000000"/>
          <w:kern w:val="0"/>
          <w:szCs w:val="21"/>
          <w:lang w:eastAsia="zh-CN"/>
        </w:rPr>
        <w:t>：讲授、讨论、案例分析。</w:t>
      </w:r>
    </w:p>
    <w:p>
      <w:pPr>
        <w:widowControl/>
        <w:spacing w:before="156" w:beforeLines="50" w:after="156" w:afterLines="50"/>
        <w:ind w:firstLine="420" w:firstLineChars="200"/>
        <w:jc w:val="left"/>
        <w:rPr>
          <w:rFonts w:hint="eastAsia" w:ascii="宋体" w:hAnsi="宋体" w:eastAsia="宋体" w:cs="TimesNewRomanPSMT"/>
          <w:color w:val="000000"/>
          <w:kern w:val="0"/>
          <w:szCs w:val="21"/>
          <w:lang w:eastAsia="zh-CN"/>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r>
        <w:rPr>
          <w:rFonts w:hint="eastAsia" w:ascii="宋体" w:hAnsi="宋体" w:eastAsia="宋体" w:cs="TimesNewRomanPSMT"/>
          <w:color w:val="000000"/>
          <w:kern w:val="0"/>
          <w:szCs w:val="21"/>
          <w:lang w:eastAsia="zh-CN"/>
        </w:rPr>
        <w:t>：</w:t>
      </w:r>
      <w:r>
        <w:rPr>
          <w:rFonts w:hint="eastAsia" w:ascii="宋体" w:hAnsi="宋体" w:eastAsia="宋体" w:cs="TimesNewRomanPSMT"/>
          <w:color w:val="000000"/>
          <w:kern w:val="0"/>
          <w:szCs w:val="21"/>
          <w:lang w:val="en-US" w:eastAsia="zh-CN"/>
        </w:rPr>
        <w:t>熟读《企业会计准则第12号——债务重组》应用指南，了解基本的会计处理原则</w:t>
      </w:r>
      <w:r>
        <w:rPr>
          <w:rFonts w:hint="eastAsia" w:ascii="宋体" w:hAnsi="宋体" w:eastAsia="宋体" w:cs="TimesNewRomanPSMT"/>
          <w:color w:val="000000"/>
          <w:kern w:val="0"/>
          <w:szCs w:val="21"/>
          <w:lang w:eastAsia="zh-CN"/>
        </w:rPr>
        <w:t>。</w:t>
      </w:r>
    </w:p>
    <w:p>
      <w:pPr>
        <w:widowControl/>
        <w:spacing w:before="156" w:beforeLines="50" w:after="156" w:afterLines="50"/>
        <w:ind w:firstLine="482" w:firstLineChars="200"/>
        <w:jc w:val="left"/>
        <w:rPr>
          <w:rFonts w:ascii="TimesNewRomanPSMT" w:hAnsi="TimesNewRomanPSMT" w:cs="TimesNewRomanPSMT"/>
          <w:color w:val="000000"/>
          <w:kern w:val="0"/>
          <w:sz w:val="20"/>
          <w:szCs w:val="20"/>
        </w:rPr>
      </w:pPr>
      <w:r>
        <w:rPr>
          <w:rFonts w:hint="eastAsia" w:ascii="黑体" w:hAnsi="黑体" w:eastAsia="黑体" w:cs="Times New Roman"/>
          <w:b/>
          <w:sz w:val="24"/>
          <w:szCs w:val="24"/>
        </w:rPr>
        <w:t>第</w:t>
      </w:r>
      <w:r>
        <w:rPr>
          <w:rFonts w:hint="eastAsia" w:ascii="黑体" w:hAnsi="黑体" w:eastAsia="黑体" w:cs="Times New Roman"/>
          <w:b/>
          <w:sz w:val="24"/>
          <w:szCs w:val="24"/>
          <w:lang w:eastAsia="zh-CN"/>
        </w:rPr>
        <w:t>三</w:t>
      </w:r>
      <w:r>
        <w:rPr>
          <w:rFonts w:hint="eastAsia" w:ascii="黑体" w:hAnsi="黑体" w:eastAsia="黑体" w:cs="Times New Roman"/>
          <w:b/>
          <w:sz w:val="24"/>
          <w:szCs w:val="24"/>
        </w:rPr>
        <w:t xml:space="preserve">章 </w:t>
      </w:r>
      <w:r>
        <w:rPr>
          <w:rFonts w:hint="eastAsia" w:ascii="黑体" w:hAnsi="黑体" w:eastAsia="黑体" w:cs="Times New Roman"/>
          <w:b/>
          <w:sz w:val="24"/>
          <w:szCs w:val="24"/>
          <w:lang w:val="en-US" w:eastAsia="zh-CN"/>
        </w:rPr>
        <w:t>股份支付</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ascii="宋体" w:hAnsi="宋体" w:eastAsia="宋体" w:cs="TimesNewRomanPSMT"/>
          <w:color w:val="000000"/>
          <w:kern w:val="0"/>
          <w:szCs w:val="21"/>
        </w:rPr>
        <w:t>1.</w:t>
      </w:r>
      <w:r>
        <w:rPr>
          <w:rFonts w:hint="eastAsia" w:ascii="宋体" w:hAnsi="宋体" w:eastAsia="宋体" w:cs="宋体"/>
          <w:color w:val="000000"/>
          <w:kern w:val="0"/>
          <w:szCs w:val="21"/>
        </w:rPr>
        <w:t>教学目标</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w:t>
      </w:r>
      <w:r>
        <w:rPr>
          <w:rFonts w:hint="default" w:ascii="宋体" w:hAnsi="宋体" w:eastAsia="宋体" w:cs="宋体"/>
          <w:color w:val="000000"/>
          <w:kern w:val="0"/>
          <w:szCs w:val="21"/>
          <w:lang w:val="en-US" w:eastAsia="zh-CN"/>
        </w:rPr>
        <w:t>1</w:t>
      </w:r>
      <w:r>
        <w:rPr>
          <w:rFonts w:hint="eastAsia" w:ascii="宋体" w:hAnsi="宋体" w:eastAsia="宋体" w:cs="宋体"/>
          <w:color w:val="000000"/>
          <w:kern w:val="0"/>
          <w:szCs w:val="21"/>
          <w:lang w:val="en-US" w:eastAsia="zh-CN"/>
        </w:rPr>
        <w:t>）了解股份支付的定义；（2）知晓股份支付的种类；（3）掌握股份支付的会计处理。</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1）不同股份支付形式下的会计处理；（2）股份支付与合并财务报表的结合。</w:t>
      </w:r>
    </w:p>
    <w:p>
      <w:pPr>
        <w:widowControl/>
        <w:spacing w:before="156" w:beforeLines="50" w:after="156" w:afterLines="50"/>
        <w:ind w:firstLine="420" w:firstLineChars="200"/>
        <w:jc w:val="left"/>
        <w:rPr>
          <w:rFonts w:hint="default" w:ascii="宋体" w:hAnsi="宋体" w:eastAsia="宋体"/>
          <w:szCs w:val="21"/>
          <w:lang w:val="en-US" w:eastAsia="zh-CN"/>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1）股票期权的会计处理；（2）限制性股票的会计处理；（3）现金股票增值权的会计处理；（4）集团股份支付的会计处理。</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ascii="宋体" w:hAnsi="宋体" w:eastAsia="宋体" w:cs="TimesNewRomanPSMT"/>
          <w:color w:val="000000"/>
          <w:kern w:val="0"/>
          <w:szCs w:val="21"/>
        </w:rPr>
        <w:t>4.</w:t>
      </w:r>
      <w:r>
        <w:rPr>
          <w:rFonts w:hint="eastAsia" w:ascii="宋体" w:hAnsi="宋体" w:eastAsia="宋体" w:cs="宋体"/>
          <w:color w:val="000000"/>
          <w:kern w:val="0"/>
          <w:szCs w:val="21"/>
        </w:rPr>
        <w:t>教学方法</w:t>
      </w:r>
      <w:r>
        <w:rPr>
          <w:rFonts w:hint="eastAsia" w:ascii="宋体" w:hAnsi="宋体" w:eastAsia="宋体" w:cs="宋体"/>
          <w:color w:val="000000"/>
          <w:kern w:val="0"/>
          <w:szCs w:val="21"/>
          <w:lang w:eastAsia="zh-CN"/>
        </w:rPr>
        <w:t>：讲授、讨论、案例分析。</w:t>
      </w:r>
    </w:p>
    <w:p>
      <w:pPr>
        <w:widowControl/>
        <w:spacing w:before="156" w:beforeLines="50" w:after="156" w:afterLines="50"/>
        <w:ind w:firstLine="420" w:firstLineChars="200"/>
        <w:jc w:val="left"/>
        <w:rPr>
          <w:rFonts w:hint="default" w:ascii="宋体" w:hAnsi="宋体" w:eastAsia="宋体" w:cs="TimesNewRomanPSMT"/>
          <w:color w:val="000000"/>
          <w:kern w:val="0"/>
          <w:szCs w:val="21"/>
          <w:lang w:val="en-US" w:eastAsia="zh-CN"/>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r>
        <w:rPr>
          <w:rFonts w:hint="eastAsia" w:ascii="宋体" w:hAnsi="宋体" w:eastAsia="宋体" w:cs="TimesNewRomanPSMT"/>
          <w:color w:val="000000"/>
          <w:kern w:val="0"/>
          <w:szCs w:val="21"/>
          <w:lang w:eastAsia="zh-CN"/>
        </w:rPr>
        <w:t>：</w:t>
      </w:r>
      <w:r>
        <w:rPr>
          <w:rFonts w:hint="eastAsia" w:ascii="宋体" w:hAnsi="宋体" w:eastAsia="宋体" w:cs="TimesNewRomanPSMT"/>
          <w:color w:val="000000"/>
          <w:kern w:val="0"/>
          <w:szCs w:val="21"/>
          <w:lang w:val="en-US" w:eastAsia="zh-CN"/>
        </w:rPr>
        <w:t>熟读《企业会计准则第11号——股份支付》应用指南，了解基本的会计处理原则。</w:t>
      </w:r>
    </w:p>
    <w:p>
      <w:pPr>
        <w:widowControl/>
        <w:spacing w:before="156" w:beforeLines="50" w:after="156" w:afterLines="50"/>
        <w:ind w:firstLine="482" w:firstLineChars="200"/>
        <w:jc w:val="left"/>
        <w:rPr>
          <w:rFonts w:ascii="TimesNewRomanPSMT" w:hAnsi="TimesNewRomanPSMT" w:cs="TimesNewRomanPSMT"/>
          <w:color w:val="000000"/>
          <w:kern w:val="0"/>
          <w:sz w:val="20"/>
          <w:szCs w:val="20"/>
        </w:rPr>
      </w:pPr>
      <w:r>
        <w:rPr>
          <w:rFonts w:hint="eastAsia" w:ascii="黑体" w:hAnsi="黑体" w:eastAsia="黑体" w:cs="Times New Roman"/>
          <w:b/>
          <w:sz w:val="24"/>
          <w:szCs w:val="24"/>
        </w:rPr>
        <w:t>第</w:t>
      </w:r>
      <w:r>
        <w:rPr>
          <w:rFonts w:hint="eastAsia" w:ascii="黑体" w:hAnsi="黑体" w:eastAsia="黑体" w:cs="Times New Roman"/>
          <w:b/>
          <w:sz w:val="24"/>
          <w:szCs w:val="24"/>
          <w:lang w:eastAsia="zh-CN"/>
        </w:rPr>
        <w:t>四</w:t>
      </w:r>
      <w:r>
        <w:rPr>
          <w:rFonts w:hint="eastAsia" w:ascii="黑体" w:hAnsi="黑体" w:eastAsia="黑体" w:cs="Times New Roman"/>
          <w:b/>
          <w:sz w:val="24"/>
          <w:szCs w:val="24"/>
        </w:rPr>
        <w:t xml:space="preserve">章 </w:t>
      </w:r>
      <w:r>
        <w:rPr>
          <w:rFonts w:hint="eastAsia" w:ascii="黑体" w:hAnsi="黑体" w:eastAsia="黑体" w:cs="Times New Roman"/>
          <w:b/>
          <w:sz w:val="24"/>
          <w:szCs w:val="24"/>
          <w:lang w:val="en-US" w:eastAsia="zh-CN"/>
        </w:rPr>
        <w:t>租赁</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ascii="宋体" w:hAnsi="宋体" w:eastAsia="宋体" w:cs="TimesNewRomanPSMT"/>
          <w:color w:val="000000"/>
          <w:kern w:val="0"/>
          <w:szCs w:val="21"/>
        </w:rPr>
        <w:t>1.</w:t>
      </w:r>
      <w:r>
        <w:rPr>
          <w:rFonts w:hint="eastAsia" w:ascii="宋体" w:hAnsi="宋体" w:eastAsia="宋体" w:cs="宋体"/>
          <w:color w:val="000000"/>
          <w:kern w:val="0"/>
          <w:szCs w:val="21"/>
        </w:rPr>
        <w:t>教学目标</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w:t>
      </w:r>
      <w:r>
        <w:rPr>
          <w:rFonts w:hint="default" w:ascii="宋体" w:hAnsi="宋体" w:eastAsia="宋体" w:cs="宋体"/>
          <w:color w:val="000000"/>
          <w:kern w:val="0"/>
          <w:szCs w:val="21"/>
          <w:lang w:val="en-US" w:eastAsia="zh-CN"/>
        </w:rPr>
        <w:t>1</w:t>
      </w:r>
      <w:r>
        <w:rPr>
          <w:rFonts w:hint="eastAsia" w:ascii="宋体" w:hAnsi="宋体" w:eastAsia="宋体" w:cs="宋体"/>
          <w:color w:val="000000"/>
          <w:kern w:val="0"/>
          <w:szCs w:val="21"/>
          <w:lang w:val="en-US" w:eastAsia="zh-CN"/>
        </w:rPr>
        <w:t>）了解租赁的定义；（2）知晓租赁的种类；（3）掌握租赁的会计处理。</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1）使用权资产模型；（2）生产商或经销商融资租赁的会计处理；（3）售后租回。</w:t>
      </w:r>
    </w:p>
    <w:p>
      <w:pPr>
        <w:widowControl/>
        <w:spacing w:before="156" w:beforeLines="50" w:after="156" w:afterLines="50"/>
        <w:ind w:firstLine="420" w:firstLineChars="200"/>
        <w:jc w:val="left"/>
        <w:rPr>
          <w:rFonts w:hint="default" w:ascii="宋体" w:hAnsi="宋体" w:eastAsia="宋体"/>
          <w:szCs w:val="21"/>
          <w:lang w:val="en-US" w:eastAsia="zh-CN"/>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1）承租人角度的会计处理；（2）出租人角度的会计处理；（3）特殊租赁业务的会计处理。</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ascii="宋体" w:hAnsi="宋体" w:eastAsia="宋体" w:cs="TimesNewRomanPSMT"/>
          <w:color w:val="000000"/>
          <w:kern w:val="0"/>
          <w:szCs w:val="21"/>
        </w:rPr>
        <w:t>4.</w:t>
      </w:r>
      <w:r>
        <w:rPr>
          <w:rFonts w:hint="eastAsia" w:ascii="宋体" w:hAnsi="宋体" w:eastAsia="宋体" w:cs="宋体"/>
          <w:color w:val="000000"/>
          <w:kern w:val="0"/>
          <w:szCs w:val="21"/>
        </w:rPr>
        <w:t>教学方法</w:t>
      </w:r>
      <w:r>
        <w:rPr>
          <w:rFonts w:hint="eastAsia" w:ascii="宋体" w:hAnsi="宋体" w:eastAsia="宋体" w:cs="宋体"/>
          <w:color w:val="000000"/>
          <w:kern w:val="0"/>
          <w:szCs w:val="21"/>
          <w:lang w:eastAsia="zh-CN"/>
        </w:rPr>
        <w:t>：讲授、讨论、案例分析。</w:t>
      </w:r>
    </w:p>
    <w:p>
      <w:pPr>
        <w:widowControl/>
        <w:spacing w:before="156" w:beforeLines="50" w:after="156" w:afterLines="50"/>
        <w:ind w:firstLine="420" w:firstLineChars="200"/>
        <w:jc w:val="left"/>
        <w:rPr>
          <w:rFonts w:hint="default" w:ascii="宋体" w:hAnsi="宋体" w:eastAsia="宋体" w:cs="TimesNewRomanPSMT"/>
          <w:color w:val="000000"/>
          <w:kern w:val="0"/>
          <w:szCs w:val="21"/>
          <w:lang w:val="en-US" w:eastAsia="zh-CN"/>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r>
        <w:rPr>
          <w:rFonts w:hint="eastAsia" w:ascii="宋体" w:hAnsi="宋体" w:eastAsia="宋体" w:cs="TimesNewRomanPSMT"/>
          <w:color w:val="000000"/>
          <w:kern w:val="0"/>
          <w:szCs w:val="21"/>
          <w:lang w:eastAsia="zh-CN"/>
        </w:rPr>
        <w:t>：</w:t>
      </w:r>
      <w:r>
        <w:rPr>
          <w:rFonts w:hint="eastAsia" w:ascii="宋体" w:hAnsi="宋体" w:eastAsia="宋体" w:cs="TimesNewRomanPSMT"/>
          <w:color w:val="000000"/>
          <w:kern w:val="0"/>
          <w:szCs w:val="21"/>
          <w:lang w:val="en-US" w:eastAsia="zh-CN"/>
        </w:rPr>
        <w:t>熟读《企业会计准则第21号——租赁》应用指南，了解基本的会计处理原则。</w:t>
      </w:r>
    </w:p>
    <w:p>
      <w:pPr>
        <w:widowControl/>
        <w:spacing w:before="156" w:beforeLines="50" w:after="156" w:afterLines="50"/>
        <w:ind w:firstLine="482" w:firstLineChars="200"/>
        <w:jc w:val="left"/>
        <w:rPr>
          <w:rFonts w:ascii="TimesNewRomanPSMT" w:hAnsi="TimesNewRomanPSMT" w:cs="TimesNewRomanPSMT"/>
          <w:color w:val="000000"/>
          <w:kern w:val="0"/>
          <w:sz w:val="20"/>
          <w:szCs w:val="20"/>
        </w:rPr>
      </w:pPr>
      <w:r>
        <w:rPr>
          <w:rFonts w:hint="eastAsia" w:ascii="黑体" w:hAnsi="黑体" w:eastAsia="黑体" w:cs="Times New Roman"/>
          <w:b/>
          <w:sz w:val="24"/>
          <w:szCs w:val="24"/>
        </w:rPr>
        <w:t>第</w:t>
      </w:r>
      <w:r>
        <w:rPr>
          <w:rFonts w:hint="eastAsia" w:ascii="黑体" w:hAnsi="黑体" w:eastAsia="黑体" w:cs="Times New Roman"/>
          <w:b/>
          <w:sz w:val="24"/>
          <w:szCs w:val="24"/>
          <w:lang w:eastAsia="zh-CN"/>
        </w:rPr>
        <w:t>五</w:t>
      </w:r>
      <w:r>
        <w:rPr>
          <w:rFonts w:hint="eastAsia" w:ascii="黑体" w:hAnsi="黑体" w:eastAsia="黑体" w:cs="Times New Roman"/>
          <w:b/>
          <w:sz w:val="24"/>
          <w:szCs w:val="24"/>
        </w:rPr>
        <w:t xml:space="preserve">章 </w:t>
      </w:r>
      <w:r>
        <w:rPr>
          <w:rFonts w:hint="eastAsia" w:ascii="黑体" w:hAnsi="黑体" w:eastAsia="黑体" w:cs="Times New Roman"/>
          <w:b/>
          <w:sz w:val="24"/>
          <w:szCs w:val="24"/>
          <w:lang w:val="en-US" w:eastAsia="zh-CN"/>
        </w:rPr>
        <w:t>所得税</w:t>
      </w:r>
    </w:p>
    <w:p>
      <w:pPr>
        <w:widowControl/>
        <w:spacing w:before="156" w:beforeLines="50" w:after="156" w:afterLines="50"/>
        <w:ind w:firstLine="420" w:firstLineChars="200"/>
        <w:jc w:val="left"/>
        <w:rPr>
          <w:rFonts w:hint="default" w:ascii="宋体" w:hAnsi="宋体" w:eastAsia="宋体" w:cs="TimesNewRomanPSMT"/>
          <w:color w:val="000000"/>
          <w:kern w:val="0"/>
          <w:szCs w:val="21"/>
          <w:lang w:val="en-US" w:eastAsia="zh-CN"/>
        </w:rPr>
      </w:pPr>
      <w:r>
        <w:rPr>
          <w:rFonts w:ascii="宋体" w:hAnsi="宋体" w:eastAsia="宋体" w:cs="TimesNewRomanPSMT"/>
          <w:color w:val="000000"/>
          <w:kern w:val="0"/>
          <w:szCs w:val="21"/>
        </w:rPr>
        <w:t>1.</w:t>
      </w:r>
      <w:r>
        <w:rPr>
          <w:rFonts w:hint="eastAsia" w:ascii="宋体" w:hAnsi="宋体" w:eastAsia="宋体" w:cs="宋体"/>
          <w:color w:val="000000"/>
          <w:kern w:val="0"/>
          <w:szCs w:val="21"/>
        </w:rPr>
        <w:t>教学目标</w:t>
      </w:r>
      <w:r>
        <w:rPr>
          <w:rFonts w:hint="eastAsia" w:ascii="宋体" w:hAnsi="宋体" w:eastAsia="宋体" w:cs="宋体"/>
          <w:color w:val="000000"/>
          <w:kern w:val="0"/>
          <w:szCs w:val="21"/>
          <w:lang w:eastAsia="zh-CN"/>
        </w:rPr>
        <w:t>：</w:t>
      </w:r>
      <w:r>
        <w:rPr>
          <w:rFonts w:hint="eastAsia" w:ascii="宋体" w:hAnsi="宋体" w:eastAsia="宋体" w:cs="TimesNewRomanPSMT"/>
          <w:color w:val="000000"/>
          <w:kern w:val="0"/>
          <w:szCs w:val="21"/>
          <w:lang w:eastAsia="zh-CN"/>
        </w:rPr>
        <w:t>（</w:t>
      </w:r>
      <w:r>
        <w:rPr>
          <w:rFonts w:hint="default" w:ascii="宋体" w:hAnsi="宋体" w:eastAsia="宋体" w:cs="TimesNewRomanPSMT"/>
          <w:color w:val="000000"/>
          <w:kern w:val="0"/>
          <w:szCs w:val="21"/>
          <w:lang w:eastAsia="zh-CN"/>
        </w:rPr>
        <w:t>1</w:t>
      </w:r>
      <w:r>
        <w:rPr>
          <w:rFonts w:hint="eastAsia" w:ascii="宋体" w:hAnsi="宋体" w:eastAsia="宋体" w:cs="TimesNewRomanPSMT"/>
          <w:color w:val="000000"/>
          <w:kern w:val="0"/>
          <w:szCs w:val="21"/>
          <w:lang w:eastAsia="zh-CN"/>
        </w:rPr>
        <w:t>）</w:t>
      </w:r>
      <w:r>
        <w:rPr>
          <w:rFonts w:hint="eastAsia" w:ascii="宋体" w:hAnsi="宋体" w:eastAsia="宋体" w:cs="TimesNewRomanPSMT"/>
          <w:color w:val="000000"/>
          <w:kern w:val="0"/>
          <w:szCs w:val="21"/>
          <w:lang w:val="en-US" w:eastAsia="zh-CN"/>
        </w:rPr>
        <w:t>了解应付税款法和资产负债表债务法的区别</w:t>
      </w:r>
      <w:r>
        <w:rPr>
          <w:rFonts w:hint="eastAsia" w:ascii="宋体" w:hAnsi="宋体" w:eastAsia="宋体" w:cs="TimesNewRomanPSMT"/>
          <w:color w:val="000000"/>
          <w:kern w:val="0"/>
          <w:szCs w:val="21"/>
          <w:lang w:eastAsia="zh-CN"/>
        </w:rPr>
        <w:t>；（</w:t>
      </w:r>
      <w:r>
        <w:rPr>
          <w:rFonts w:hint="default" w:ascii="宋体" w:hAnsi="宋体" w:eastAsia="宋体" w:cs="TimesNewRomanPSMT"/>
          <w:color w:val="000000"/>
          <w:kern w:val="0"/>
          <w:szCs w:val="21"/>
          <w:lang w:eastAsia="zh-CN"/>
        </w:rPr>
        <w:t>2</w:t>
      </w:r>
      <w:r>
        <w:rPr>
          <w:rFonts w:hint="eastAsia" w:ascii="宋体" w:hAnsi="宋体" w:eastAsia="宋体" w:cs="TimesNewRomanPSMT"/>
          <w:color w:val="000000"/>
          <w:kern w:val="0"/>
          <w:szCs w:val="21"/>
          <w:lang w:eastAsia="zh-CN"/>
        </w:rPr>
        <w:t>）</w:t>
      </w:r>
      <w:r>
        <w:rPr>
          <w:rFonts w:hint="eastAsia" w:ascii="宋体" w:hAnsi="宋体" w:eastAsia="宋体" w:cs="TimesNewRomanPSMT"/>
          <w:color w:val="000000"/>
          <w:kern w:val="0"/>
          <w:szCs w:val="21"/>
          <w:lang w:val="en-US" w:eastAsia="zh-CN"/>
        </w:rPr>
        <w:t>知晓暂时性差异和永久性差异的区别</w:t>
      </w:r>
      <w:r>
        <w:rPr>
          <w:rFonts w:hint="eastAsia" w:ascii="宋体" w:hAnsi="宋体" w:eastAsia="宋体" w:cs="TimesNewRomanPSMT"/>
          <w:color w:val="000000"/>
          <w:kern w:val="0"/>
          <w:szCs w:val="21"/>
          <w:lang w:eastAsia="zh-CN"/>
        </w:rPr>
        <w:t>；（</w:t>
      </w:r>
      <w:r>
        <w:rPr>
          <w:rFonts w:hint="default" w:ascii="宋体" w:hAnsi="宋体" w:eastAsia="宋体" w:cs="TimesNewRomanPSMT"/>
          <w:color w:val="000000"/>
          <w:kern w:val="0"/>
          <w:szCs w:val="21"/>
          <w:lang w:eastAsia="zh-CN"/>
        </w:rPr>
        <w:t>3</w:t>
      </w:r>
      <w:r>
        <w:rPr>
          <w:rFonts w:hint="eastAsia" w:ascii="宋体" w:hAnsi="宋体" w:eastAsia="宋体" w:cs="TimesNewRomanPSMT"/>
          <w:color w:val="000000"/>
          <w:kern w:val="0"/>
          <w:szCs w:val="21"/>
          <w:lang w:eastAsia="zh-CN"/>
        </w:rPr>
        <w:t>）掌握</w:t>
      </w:r>
      <w:r>
        <w:rPr>
          <w:rFonts w:hint="eastAsia" w:ascii="宋体" w:hAnsi="宋体" w:eastAsia="宋体" w:cs="TimesNewRomanPSMT"/>
          <w:color w:val="000000"/>
          <w:kern w:val="0"/>
          <w:szCs w:val="21"/>
          <w:lang w:val="en-US" w:eastAsia="zh-CN"/>
        </w:rPr>
        <w:t>暂时性差异的会计处理</w:t>
      </w:r>
      <w:r>
        <w:rPr>
          <w:rFonts w:hint="eastAsia" w:ascii="宋体" w:hAnsi="宋体" w:eastAsia="宋体" w:cs="TimesNewRomanPSMT"/>
          <w:color w:val="000000"/>
          <w:kern w:val="0"/>
          <w:szCs w:val="21"/>
          <w:lang w:eastAsia="zh-CN"/>
        </w:rPr>
        <w:t>；（</w:t>
      </w:r>
      <w:r>
        <w:rPr>
          <w:rFonts w:hint="default" w:ascii="宋体" w:hAnsi="宋体" w:eastAsia="宋体" w:cs="TimesNewRomanPSMT"/>
          <w:color w:val="000000"/>
          <w:kern w:val="0"/>
          <w:szCs w:val="21"/>
          <w:lang w:eastAsia="zh-CN"/>
        </w:rPr>
        <w:t>4</w:t>
      </w:r>
      <w:r>
        <w:rPr>
          <w:rFonts w:hint="eastAsia" w:ascii="宋体" w:hAnsi="宋体" w:eastAsia="宋体" w:cs="TimesNewRomanPSMT"/>
          <w:color w:val="000000"/>
          <w:kern w:val="0"/>
          <w:szCs w:val="21"/>
          <w:lang w:eastAsia="zh-CN"/>
        </w:rPr>
        <w:t>）</w:t>
      </w:r>
      <w:r>
        <w:rPr>
          <w:rFonts w:hint="eastAsia" w:ascii="宋体" w:hAnsi="宋体" w:eastAsia="宋体" w:cs="TimesNewRomanPSMT"/>
          <w:color w:val="000000"/>
          <w:kern w:val="0"/>
          <w:szCs w:val="21"/>
          <w:lang w:val="en-US" w:eastAsia="zh-CN"/>
        </w:rPr>
        <w:t>掌握资产负债表债务法对于暂时性差异会计处理的原理</w:t>
      </w:r>
      <w:r>
        <w:rPr>
          <w:rFonts w:hint="eastAsia" w:ascii="宋体" w:hAnsi="宋体" w:eastAsia="宋体" w:cs="TimesNewRomanPSMT"/>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1）暂时性差异的分类；（2）暂时性差异的会计处理；（3）暂时性差异和利润表的关系。</w:t>
      </w:r>
    </w:p>
    <w:p>
      <w:pPr>
        <w:widowControl/>
        <w:spacing w:before="156" w:beforeLines="50" w:after="156" w:afterLines="50"/>
        <w:ind w:firstLine="420" w:firstLineChars="200"/>
        <w:jc w:val="left"/>
        <w:rPr>
          <w:rFonts w:hint="default" w:ascii="宋体" w:hAnsi="宋体" w:eastAsia="宋体"/>
          <w:szCs w:val="21"/>
          <w:lang w:val="en-US" w:eastAsia="zh-CN"/>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1）常见的永久性差异；（2）可抵扣暂时性差异和应纳税暂时性差异的的区分；（3）暂时性差异的常见会计分录；（4）递延所得税费用和收益。</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ascii="宋体" w:hAnsi="宋体" w:eastAsia="宋体" w:cs="TimesNewRomanPSMT"/>
          <w:color w:val="000000"/>
          <w:kern w:val="0"/>
          <w:szCs w:val="21"/>
        </w:rPr>
        <w:t>4.</w:t>
      </w:r>
      <w:r>
        <w:rPr>
          <w:rFonts w:hint="eastAsia" w:ascii="宋体" w:hAnsi="宋体" w:eastAsia="宋体" w:cs="宋体"/>
          <w:color w:val="000000"/>
          <w:kern w:val="0"/>
          <w:szCs w:val="21"/>
        </w:rPr>
        <w:t>教学方法</w:t>
      </w:r>
      <w:r>
        <w:rPr>
          <w:rFonts w:hint="eastAsia" w:ascii="宋体" w:hAnsi="宋体" w:eastAsia="宋体" w:cs="宋体"/>
          <w:color w:val="000000"/>
          <w:kern w:val="0"/>
          <w:szCs w:val="21"/>
          <w:lang w:eastAsia="zh-CN"/>
        </w:rPr>
        <w:t>：讲授、讨论、案例分析。</w:t>
      </w:r>
    </w:p>
    <w:p>
      <w:pPr>
        <w:widowControl/>
        <w:spacing w:before="156" w:beforeLines="50" w:after="156" w:afterLines="50"/>
        <w:ind w:firstLine="420" w:firstLineChars="200"/>
        <w:jc w:val="left"/>
        <w:rPr>
          <w:rFonts w:hint="default" w:ascii="宋体" w:hAnsi="宋体" w:eastAsia="宋体" w:cs="TimesNewRomanPSMT"/>
          <w:color w:val="000000"/>
          <w:kern w:val="0"/>
          <w:szCs w:val="21"/>
          <w:lang w:val="en-US" w:eastAsia="zh-CN"/>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r>
        <w:rPr>
          <w:rFonts w:hint="eastAsia" w:ascii="宋体" w:hAnsi="宋体" w:eastAsia="宋体" w:cs="TimesNewRomanPSMT"/>
          <w:color w:val="000000"/>
          <w:kern w:val="0"/>
          <w:szCs w:val="21"/>
          <w:lang w:eastAsia="zh-CN"/>
        </w:rPr>
        <w:t>：</w:t>
      </w:r>
      <w:r>
        <w:rPr>
          <w:rFonts w:hint="eastAsia" w:ascii="宋体" w:hAnsi="宋体" w:eastAsia="宋体" w:cs="TimesNewRomanPSMT"/>
          <w:color w:val="000000"/>
          <w:kern w:val="0"/>
          <w:szCs w:val="21"/>
          <w:lang w:val="en-US" w:eastAsia="zh-CN"/>
        </w:rPr>
        <w:t>熟读《企业会计准则第18号——所得税》应用指南，了解基本的会计处理原则。</w:t>
      </w:r>
    </w:p>
    <w:p>
      <w:pPr>
        <w:widowControl/>
        <w:spacing w:before="156" w:beforeLines="50" w:after="156" w:afterLines="50"/>
        <w:ind w:firstLine="482" w:firstLineChars="200"/>
        <w:jc w:val="left"/>
        <w:rPr>
          <w:rFonts w:ascii="TimesNewRomanPSMT" w:hAnsi="TimesNewRomanPSMT" w:cs="TimesNewRomanPSMT"/>
          <w:color w:val="000000"/>
          <w:kern w:val="0"/>
          <w:sz w:val="20"/>
          <w:szCs w:val="20"/>
        </w:rPr>
      </w:pPr>
      <w:r>
        <w:rPr>
          <w:rFonts w:hint="eastAsia" w:ascii="黑体" w:hAnsi="黑体" w:eastAsia="黑体" w:cs="Times New Roman"/>
          <w:b/>
          <w:sz w:val="24"/>
          <w:szCs w:val="24"/>
        </w:rPr>
        <w:t>第</w:t>
      </w:r>
      <w:r>
        <w:rPr>
          <w:rFonts w:hint="eastAsia" w:ascii="黑体" w:hAnsi="黑体" w:eastAsia="黑体" w:cs="Times New Roman"/>
          <w:b/>
          <w:sz w:val="24"/>
          <w:szCs w:val="24"/>
          <w:lang w:eastAsia="zh-CN"/>
        </w:rPr>
        <w:t>六</w:t>
      </w:r>
      <w:r>
        <w:rPr>
          <w:rFonts w:hint="eastAsia" w:ascii="黑体" w:hAnsi="黑体" w:eastAsia="黑体" w:cs="Times New Roman"/>
          <w:b/>
          <w:sz w:val="24"/>
          <w:szCs w:val="24"/>
        </w:rPr>
        <w:t xml:space="preserve">章 </w:t>
      </w:r>
      <w:r>
        <w:rPr>
          <w:rFonts w:hint="eastAsia" w:ascii="黑体" w:hAnsi="黑体" w:eastAsia="黑体" w:cs="Times New Roman"/>
          <w:b/>
          <w:sz w:val="24"/>
          <w:szCs w:val="24"/>
          <w:lang w:val="en-US" w:eastAsia="zh-CN"/>
        </w:rPr>
        <w:t>合并财务报表</w:t>
      </w:r>
    </w:p>
    <w:p>
      <w:pPr>
        <w:widowControl/>
        <w:spacing w:before="156" w:beforeLines="50" w:after="156" w:afterLines="50"/>
        <w:ind w:firstLine="420" w:firstLineChars="200"/>
        <w:jc w:val="left"/>
        <w:rPr>
          <w:rFonts w:hint="default" w:ascii="宋体" w:hAnsi="宋体" w:eastAsia="宋体" w:cs="TimesNewRomanPSMT"/>
          <w:color w:val="000000"/>
          <w:kern w:val="0"/>
          <w:szCs w:val="21"/>
          <w:lang w:eastAsia="zh-CN"/>
        </w:rPr>
      </w:pPr>
      <w:r>
        <w:rPr>
          <w:rFonts w:ascii="宋体" w:hAnsi="宋体" w:eastAsia="宋体" w:cs="TimesNewRomanPSMT"/>
          <w:color w:val="000000"/>
          <w:kern w:val="0"/>
          <w:szCs w:val="21"/>
        </w:rPr>
        <w:t>1.</w:t>
      </w:r>
      <w:r>
        <w:rPr>
          <w:rFonts w:hint="eastAsia" w:ascii="宋体" w:hAnsi="宋体" w:eastAsia="宋体" w:cs="宋体"/>
          <w:color w:val="000000"/>
          <w:kern w:val="0"/>
          <w:szCs w:val="21"/>
        </w:rPr>
        <w:t>教学目标</w:t>
      </w:r>
      <w:r>
        <w:rPr>
          <w:rFonts w:hint="eastAsia" w:ascii="宋体" w:hAnsi="宋体" w:eastAsia="宋体" w:cs="宋体"/>
          <w:color w:val="000000"/>
          <w:kern w:val="0"/>
          <w:szCs w:val="21"/>
          <w:lang w:eastAsia="zh-CN"/>
        </w:rPr>
        <w:t>：</w:t>
      </w:r>
      <w:r>
        <w:rPr>
          <w:rFonts w:hint="eastAsia" w:ascii="宋体" w:hAnsi="宋体" w:eastAsia="宋体" w:cs="TimesNewRomanPSMT"/>
          <w:color w:val="000000"/>
          <w:kern w:val="0"/>
          <w:szCs w:val="21"/>
          <w:lang w:eastAsia="zh-CN"/>
        </w:rPr>
        <w:t>（</w:t>
      </w:r>
      <w:r>
        <w:rPr>
          <w:rFonts w:hint="default" w:ascii="宋体" w:hAnsi="宋体" w:eastAsia="宋体" w:cs="TimesNewRomanPSMT"/>
          <w:color w:val="000000"/>
          <w:kern w:val="0"/>
          <w:szCs w:val="21"/>
          <w:lang w:eastAsia="zh-CN"/>
        </w:rPr>
        <w:t>1</w:t>
      </w:r>
      <w:r>
        <w:rPr>
          <w:rFonts w:hint="eastAsia" w:ascii="宋体" w:hAnsi="宋体" w:eastAsia="宋体" w:cs="TimesNewRomanPSMT"/>
          <w:color w:val="000000"/>
          <w:kern w:val="0"/>
          <w:szCs w:val="21"/>
          <w:lang w:eastAsia="zh-CN"/>
        </w:rPr>
        <w:t>）了解</w:t>
      </w:r>
      <w:r>
        <w:rPr>
          <w:rFonts w:hint="eastAsia" w:ascii="宋体" w:hAnsi="宋体" w:eastAsia="宋体" w:cs="TimesNewRomanPSMT"/>
          <w:color w:val="000000"/>
          <w:kern w:val="0"/>
          <w:szCs w:val="21"/>
          <w:lang w:val="en-US" w:eastAsia="zh-CN"/>
        </w:rPr>
        <w:t>合并财务报表的基本理论和编制流程</w:t>
      </w:r>
      <w:r>
        <w:rPr>
          <w:rFonts w:hint="eastAsia" w:ascii="宋体" w:hAnsi="宋体" w:eastAsia="宋体" w:cs="TimesNewRomanPSMT"/>
          <w:color w:val="000000"/>
          <w:kern w:val="0"/>
          <w:szCs w:val="21"/>
          <w:lang w:eastAsia="zh-CN"/>
        </w:rPr>
        <w:t>；（</w:t>
      </w:r>
      <w:r>
        <w:rPr>
          <w:rFonts w:hint="default" w:ascii="宋体" w:hAnsi="宋体" w:eastAsia="宋体" w:cs="TimesNewRomanPSMT"/>
          <w:color w:val="000000"/>
          <w:kern w:val="0"/>
          <w:szCs w:val="21"/>
          <w:lang w:eastAsia="zh-CN"/>
        </w:rPr>
        <w:t>2</w:t>
      </w:r>
      <w:r>
        <w:rPr>
          <w:rFonts w:hint="eastAsia" w:ascii="宋体" w:hAnsi="宋体" w:eastAsia="宋体" w:cs="TimesNewRomanPSMT"/>
          <w:color w:val="000000"/>
          <w:kern w:val="0"/>
          <w:szCs w:val="21"/>
          <w:lang w:eastAsia="zh-CN"/>
        </w:rPr>
        <w:t>）</w:t>
      </w:r>
      <w:r>
        <w:rPr>
          <w:rFonts w:hint="eastAsia" w:ascii="宋体" w:hAnsi="宋体" w:eastAsia="宋体" w:cs="TimesNewRomanPSMT"/>
          <w:color w:val="000000"/>
          <w:kern w:val="0"/>
          <w:szCs w:val="21"/>
          <w:lang w:val="en-US" w:eastAsia="zh-CN"/>
        </w:rPr>
        <w:t>掌握同一控制和非同一控制下合并财务报表的连续编制</w:t>
      </w:r>
      <w:r>
        <w:rPr>
          <w:rFonts w:hint="eastAsia" w:ascii="宋体" w:hAnsi="宋体" w:eastAsia="宋体" w:cs="TimesNewRomanPSMT"/>
          <w:color w:val="000000"/>
          <w:kern w:val="0"/>
          <w:szCs w:val="21"/>
          <w:lang w:eastAsia="zh-CN"/>
        </w:rPr>
        <w:t>；（</w:t>
      </w:r>
      <w:r>
        <w:rPr>
          <w:rFonts w:hint="default" w:ascii="宋体" w:hAnsi="宋体" w:eastAsia="宋体" w:cs="TimesNewRomanPSMT"/>
          <w:color w:val="000000"/>
          <w:kern w:val="0"/>
          <w:szCs w:val="21"/>
          <w:lang w:eastAsia="zh-CN"/>
        </w:rPr>
        <w:t>3</w:t>
      </w:r>
      <w:r>
        <w:rPr>
          <w:rFonts w:hint="eastAsia" w:ascii="宋体" w:hAnsi="宋体" w:eastAsia="宋体" w:cs="TimesNewRomanPSMT"/>
          <w:color w:val="000000"/>
          <w:kern w:val="0"/>
          <w:szCs w:val="21"/>
          <w:lang w:eastAsia="zh-CN"/>
        </w:rPr>
        <w:t>）掌握</w:t>
      </w:r>
      <w:r>
        <w:rPr>
          <w:rFonts w:hint="eastAsia" w:ascii="宋体" w:hAnsi="宋体" w:eastAsia="宋体" w:cs="TimesNewRomanPSMT"/>
          <w:color w:val="000000"/>
          <w:kern w:val="0"/>
          <w:szCs w:val="21"/>
          <w:lang w:val="en-US" w:eastAsia="zh-CN"/>
        </w:rPr>
        <w:t>不同内部交易种类下的抵销分录的编制</w:t>
      </w:r>
      <w:r>
        <w:rPr>
          <w:rFonts w:hint="eastAsia" w:ascii="宋体" w:hAnsi="宋体" w:eastAsia="宋体" w:cs="TimesNewRomanPSMT"/>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1）合并财务报表的连续编制；（2）内部交易的抵销分录。</w:t>
      </w:r>
    </w:p>
    <w:p>
      <w:pPr>
        <w:widowControl/>
        <w:spacing w:before="156" w:beforeLines="50" w:after="156" w:afterLines="50"/>
        <w:ind w:firstLine="420" w:firstLineChars="200"/>
        <w:jc w:val="left"/>
        <w:rPr>
          <w:rFonts w:hint="default" w:ascii="宋体" w:hAnsi="宋体" w:eastAsia="宋体"/>
          <w:szCs w:val="21"/>
          <w:lang w:val="en-US" w:eastAsia="zh-CN"/>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1）合并财务报表的基本理论；（2）合并财务报表的编制流程；（3）合并日和合并日后合并财务报表的编制；（4）购买日和购买日后合并财务报表的编制；（5）内部应收应付款项的抵销；（6）内部固定资产交易的抵销；（7）内部无形资产交易的抵销；（8）内部存货交易的抵销。</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ascii="宋体" w:hAnsi="宋体" w:eastAsia="宋体" w:cs="TimesNewRomanPSMT"/>
          <w:color w:val="000000"/>
          <w:kern w:val="0"/>
          <w:szCs w:val="21"/>
        </w:rPr>
        <w:t>4.</w:t>
      </w:r>
      <w:r>
        <w:rPr>
          <w:rFonts w:hint="eastAsia" w:ascii="宋体" w:hAnsi="宋体" w:eastAsia="宋体" w:cs="宋体"/>
          <w:color w:val="000000"/>
          <w:kern w:val="0"/>
          <w:szCs w:val="21"/>
        </w:rPr>
        <w:t>教学方法</w:t>
      </w:r>
      <w:r>
        <w:rPr>
          <w:rFonts w:hint="eastAsia" w:ascii="宋体" w:hAnsi="宋体" w:eastAsia="宋体" w:cs="宋体"/>
          <w:color w:val="000000"/>
          <w:kern w:val="0"/>
          <w:szCs w:val="21"/>
          <w:lang w:eastAsia="zh-CN"/>
        </w:rPr>
        <w:t>：讲授、讨论、案例分析。</w:t>
      </w:r>
    </w:p>
    <w:p>
      <w:pPr>
        <w:widowControl/>
        <w:spacing w:before="156" w:beforeLines="50" w:after="156" w:afterLines="50"/>
        <w:ind w:firstLine="420" w:firstLineChars="200"/>
        <w:jc w:val="left"/>
        <w:rPr>
          <w:rFonts w:hint="default" w:ascii="宋体" w:hAnsi="宋体" w:eastAsia="宋体" w:cs="TimesNewRomanPSMT"/>
          <w:color w:val="000000"/>
          <w:kern w:val="0"/>
          <w:szCs w:val="21"/>
          <w:lang w:val="en-US" w:eastAsia="zh-CN"/>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r>
        <w:rPr>
          <w:rFonts w:hint="eastAsia" w:ascii="宋体" w:hAnsi="宋体" w:eastAsia="宋体" w:cs="TimesNewRomanPSMT"/>
          <w:color w:val="000000"/>
          <w:kern w:val="0"/>
          <w:szCs w:val="21"/>
          <w:lang w:eastAsia="zh-CN"/>
        </w:rPr>
        <w:t>：</w:t>
      </w:r>
      <w:r>
        <w:rPr>
          <w:rFonts w:hint="eastAsia" w:ascii="宋体" w:hAnsi="宋体" w:eastAsia="宋体" w:cs="TimesNewRomanPSMT"/>
          <w:color w:val="000000"/>
          <w:kern w:val="0"/>
          <w:szCs w:val="21"/>
          <w:lang w:val="en-US" w:eastAsia="zh-CN"/>
        </w:rPr>
        <w:t>熟读《企业会计准则第33号——合并财务报表》应用指南，了解基本的会计处理原则。</w:t>
      </w:r>
    </w:p>
    <w:p>
      <w:pPr>
        <w:widowControl/>
        <w:spacing w:before="156" w:beforeLines="50" w:after="156" w:afterLines="50"/>
        <w:ind w:firstLine="562" w:firstLineChars="200"/>
        <w:jc w:val="left"/>
      </w:pPr>
      <w:r>
        <w:rPr>
          <w:rFonts w:hint="eastAsia" w:ascii="黑体" w:hAnsi="黑体" w:eastAsia="黑体"/>
          <w:b/>
          <w:sz w:val="28"/>
          <w:szCs w:val="28"/>
          <w:lang w:eastAsia="zh-CN"/>
        </w:rPr>
        <w:t>四</w:t>
      </w:r>
      <w:r>
        <w:rPr>
          <w:rFonts w:hint="eastAsia" w:ascii="黑体" w:hAnsi="黑体" w:eastAsia="黑体"/>
          <w:b/>
          <w:sz w:val="28"/>
          <w:szCs w:val="28"/>
        </w:rPr>
        <w:t>、学时分配</w:t>
      </w:r>
    </w:p>
    <w:p>
      <w:pPr>
        <w:widowControl/>
        <w:spacing w:before="156" w:beforeLines="50" w:after="156" w:afterLines="50"/>
        <w:jc w:val="center"/>
        <w:rPr>
          <w:rFonts w:ascii="黑体" w:hAnsi="黑体" w:eastAsia="黑体"/>
          <w:b/>
          <w:sz w:val="24"/>
          <w:szCs w:val="24"/>
        </w:rPr>
      </w:pPr>
      <w:r>
        <w:rPr>
          <w:rFonts w:hint="eastAsia" w:ascii="宋体" w:hAnsi="宋体" w:eastAsia="宋体"/>
          <w:b/>
          <w:szCs w:val="21"/>
        </w:rPr>
        <w:t>表2：各章节的具体内容和学时分配表</w:t>
      </w:r>
    </w:p>
    <w:tbl>
      <w:tblPr>
        <w:tblStyle w:val="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5"/>
        <w:gridCol w:w="3278"/>
        <w:gridCol w:w="2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章节</w:t>
            </w:r>
          </w:p>
        </w:tc>
        <w:tc>
          <w:tcPr>
            <w:tcW w:w="3278" w:type="dxa"/>
            <w:vAlign w:val="center"/>
          </w:tcPr>
          <w:p>
            <w:pPr>
              <w:widowControl/>
              <w:spacing w:before="156" w:beforeLines="50" w:after="156" w:afterLines="50"/>
              <w:jc w:val="center"/>
              <w:rPr>
                <w:rFonts w:ascii="宋体" w:hAnsi="宋体" w:eastAsia="宋体"/>
              </w:rPr>
            </w:pPr>
            <w:r>
              <w:rPr>
                <w:rFonts w:hint="eastAsia" w:ascii="宋体" w:hAnsi="宋体" w:eastAsia="宋体"/>
              </w:rPr>
              <w:t>章节内容</w:t>
            </w:r>
          </w:p>
        </w:tc>
        <w:tc>
          <w:tcPr>
            <w:tcW w:w="2253" w:type="dxa"/>
            <w:vAlign w:val="center"/>
          </w:tcPr>
          <w:p>
            <w:pPr>
              <w:widowControl/>
              <w:spacing w:before="156" w:beforeLines="50" w:after="156" w:afterLines="50"/>
              <w:jc w:val="center"/>
              <w:rPr>
                <w:rFonts w:ascii="宋体" w:hAnsi="宋体" w:eastAsia="宋体"/>
              </w:rPr>
            </w:pPr>
            <w:r>
              <w:rPr>
                <w:rFonts w:hint="eastAsia" w:ascii="宋体" w:hAnsi="宋体" w:eastAsia="宋体"/>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hint="eastAsia" w:ascii="宋体" w:hAnsi="宋体" w:eastAsia="宋体"/>
                <w:lang w:eastAsia="zh-CN"/>
              </w:rPr>
            </w:pPr>
            <w:r>
              <w:rPr>
                <w:rFonts w:hint="eastAsia" w:ascii="宋体" w:hAnsi="宋体" w:eastAsia="宋体"/>
                <w:lang w:val="en-US" w:eastAsia="zh-CN"/>
              </w:rPr>
              <w:t xml:space="preserve">专题1 </w:t>
            </w:r>
          </w:p>
        </w:tc>
        <w:tc>
          <w:tcPr>
            <w:tcW w:w="3278"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eastAsia="宋体"/>
              </w:rPr>
            </w:pPr>
            <w:r>
              <w:rPr>
                <w:rFonts w:hint="eastAsia" w:ascii="宋体" w:hAnsi="宋体" w:eastAsia="宋体"/>
                <w:lang w:val="en-US" w:eastAsia="zh-CN"/>
              </w:rPr>
              <w:t>非货币性资产交换</w:t>
            </w:r>
          </w:p>
        </w:tc>
        <w:tc>
          <w:tcPr>
            <w:tcW w:w="2253"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 xml:space="preserve">专题2 </w:t>
            </w:r>
          </w:p>
        </w:tc>
        <w:tc>
          <w:tcPr>
            <w:tcW w:w="3278"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eastAsia="宋体"/>
              </w:rPr>
            </w:pPr>
            <w:r>
              <w:rPr>
                <w:rFonts w:hint="eastAsia" w:ascii="宋体" w:hAnsi="宋体" w:eastAsia="宋体"/>
                <w:lang w:val="en-US" w:eastAsia="zh-CN"/>
              </w:rPr>
              <w:t>债务重组</w:t>
            </w:r>
          </w:p>
        </w:tc>
        <w:tc>
          <w:tcPr>
            <w:tcW w:w="2253"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 xml:space="preserve">专题3 </w:t>
            </w:r>
          </w:p>
        </w:tc>
        <w:tc>
          <w:tcPr>
            <w:tcW w:w="3278"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eastAsia="宋体"/>
              </w:rPr>
            </w:pPr>
            <w:r>
              <w:rPr>
                <w:rFonts w:hint="eastAsia" w:ascii="宋体" w:hAnsi="宋体" w:eastAsia="宋体"/>
                <w:lang w:val="en-US" w:eastAsia="zh-CN"/>
              </w:rPr>
              <w:t>股份支付</w:t>
            </w:r>
          </w:p>
        </w:tc>
        <w:tc>
          <w:tcPr>
            <w:tcW w:w="2253"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 xml:space="preserve">专题4 </w:t>
            </w:r>
          </w:p>
        </w:tc>
        <w:tc>
          <w:tcPr>
            <w:tcW w:w="3278"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eastAsia="宋体"/>
              </w:rPr>
            </w:pPr>
            <w:r>
              <w:rPr>
                <w:rFonts w:hint="eastAsia" w:ascii="宋体" w:hAnsi="宋体" w:eastAsia="宋体"/>
                <w:lang w:val="en-US" w:eastAsia="zh-CN"/>
              </w:rPr>
              <w:t>租赁</w:t>
            </w:r>
          </w:p>
        </w:tc>
        <w:tc>
          <w:tcPr>
            <w:tcW w:w="2253"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 xml:space="preserve">专题5 </w:t>
            </w:r>
          </w:p>
        </w:tc>
        <w:tc>
          <w:tcPr>
            <w:tcW w:w="3278" w:type="dxa"/>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eastAsia="宋体"/>
              </w:rPr>
            </w:pPr>
            <w:r>
              <w:rPr>
                <w:rFonts w:hint="eastAsia" w:ascii="宋体" w:hAnsi="宋体" w:eastAsia="宋体"/>
                <w:lang w:val="en-US" w:eastAsia="zh-CN"/>
              </w:rPr>
              <w:t>所得税</w:t>
            </w:r>
          </w:p>
        </w:tc>
        <w:tc>
          <w:tcPr>
            <w:tcW w:w="2253"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 xml:space="preserve">专题6 </w:t>
            </w:r>
          </w:p>
        </w:tc>
        <w:tc>
          <w:tcPr>
            <w:tcW w:w="3278" w:type="dxa"/>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eastAsia="宋体"/>
              </w:rPr>
            </w:pPr>
            <w:r>
              <w:rPr>
                <w:rFonts w:hint="eastAsia" w:ascii="宋体" w:hAnsi="宋体" w:eastAsia="宋体"/>
                <w:lang w:val="en-US" w:eastAsia="zh-CN"/>
              </w:rPr>
              <w:t>合并财务报表</w:t>
            </w:r>
          </w:p>
        </w:tc>
        <w:tc>
          <w:tcPr>
            <w:tcW w:w="2253"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12</w:t>
            </w:r>
          </w:p>
        </w:tc>
      </w:tr>
    </w:tbl>
    <w:p>
      <w:pPr>
        <w:widowControl/>
        <w:numPr>
          <w:ilvl w:val="0"/>
          <w:numId w:val="3"/>
        </w:numPr>
        <w:spacing w:before="156" w:beforeLines="50" w:after="156" w:afterLines="50"/>
        <w:jc w:val="left"/>
        <w:rPr>
          <w:rFonts w:hint="eastAsia" w:ascii="黑体" w:hAnsi="黑体" w:eastAsia="黑体"/>
          <w:b/>
          <w:sz w:val="28"/>
          <w:szCs w:val="28"/>
        </w:rPr>
      </w:pPr>
      <w:r>
        <w:rPr>
          <w:rFonts w:hint="eastAsia" w:ascii="黑体" w:hAnsi="黑体" w:eastAsia="黑体"/>
          <w:b/>
          <w:sz w:val="28"/>
          <w:szCs w:val="28"/>
        </w:rPr>
        <w:t>教学进度</w:t>
      </w:r>
    </w:p>
    <w:p>
      <w:pPr>
        <w:widowControl/>
        <w:numPr>
          <w:ilvl w:val="0"/>
          <w:numId w:val="0"/>
        </w:numPr>
        <w:spacing w:before="156" w:beforeLines="50" w:after="156" w:afterLines="50"/>
        <w:jc w:val="center"/>
        <w:rPr>
          <w:rFonts w:ascii="宋体" w:hAnsi="宋体" w:eastAsia="宋体"/>
          <w:szCs w:val="21"/>
        </w:rPr>
      </w:pPr>
      <w:r>
        <w:rPr>
          <w:rFonts w:hint="eastAsia" w:ascii="宋体" w:hAnsi="宋体" w:eastAsia="宋体"/>
          <w:b/>
          <w:szCs w:val="21"/>
        </w:rPr>
        <w:t>表3：教学进度表</w:t>
      </w:r>
    </w:p>
    <w:tbl>
      <w:tblPr>
        <w:tblStyle w:val="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750"/>
        <w:gridCol w:w="1181"/>
        <w:gridCol w:w="2619"/>
        <w:gridCol w:w="750"/>
        <w:gridCol w:w="1699"/>
        <w:gridCol w:w="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周次</w:t>
            </w:r>
          </w:p>
        </w:tc>
        <w:tc>
          <w:tcPr>
            <w:tcW w:w="750"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日期</w:t>
            </w:r>
          </w:p>
        </w:tc>
        <w:tc>
          <w:tcPr>
            <w:tcW w:w="1181"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章节名称</w:t>
            </w:r>
          </w:p>
        </w:tc>
        <w:tc>
          <w:tcPr>
            <w:tcW w:w="2619"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内容提要</w:t>
            </w:r>
          </w:p>
        </w:tc>
        <w:tc>
          <w:tcPr>
            <w:tcW w:w="750"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授课时数</w:t>
            </w:r>
          </w:p>
        </w:tc>
        <w:tc>
          <w:tcPr>
            <w:tcW w:w="1699"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作业及要求</w:t>
            </w:r>
          </w:p>
        </w:tc>
        <w:tc>
          <w:tcPr>
            <w:tcW w:w="504"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 w:type="dxa"/>
            <w:vAlign w:val="center"/>
          </w:tcPr>
          <w:p>
            <w:pPr>
              <w:widowControl/>
              <w:spacing w:before="156" w:beforeLines="50" w:after="156" w:afterLines="50"/>
              <w:jc w:val="center"/>
              <w:rPr>
                <w:rFonts w:hint="eastAsia" w:ascii="宋体" w:hAnsi="宋体" w:eastAsia="宋体"/>
                <w:szCs w:val="21"/>
                <w:lang w:eastAsia="zh-CN"/>
              </w:rPr>
            </w:pPr>
            <w:r>
              <w:rPr>
                <w:rFonts w:hint="eastAsia" w:ascii="宋体" w:hAnsi="宋体" w:eastAsia="宋体"/>
                <w:szCs w:val="21"/>
              </w:rPr>
              <w:t>1-</w:t>
            </w:r>
            <w:r>
              <w:rPr>
                <w:rFonts w:hint="eastAsia" w:ascii="宋体" w:hAnsi="宋体" w:eastAsia="宋体"/>
                <w:szCs w:val="21"/>
                <w:lang w:val="en-US" w:eastAsia="zh-CN"/>
              </w:rPr>
              <w:t>2</w:t>
            </w:r>
          </w:p>
        </w:tc>
        <w:tc>
          <w:tcPr>
            <w:tcW w:w="750" w:type="dxa"/>
            <w:vAlign w:val="center"/>
          </w:tcPr>
          <w:p>
            <w:pPr>
              <w:widowControl/>
              <w:spacing w:before="156" w:beforeLines="50" w:after="156" w:afterLines="50"/>
              <w:jc w:val="center"/>
              <w:rPr>
                <w:rFonts w:ascii="宋体" w:hAnsi="宋体" w:eastAsia="宋体"/>
                <w:szCs w:val="21"/>
              </w:rPr>
            </w:pPr>
          </w:p>
        </w:tc>
        <w:tc>
          <w:tcPr>
            <w:tcW w:w="1181" w:type="dxa"/>
            <w:vAlign w:val="center"/>
          </w:tcPr>
          <w:p>
            <w:pPr>
              <w:widowControl/>
              <w:spacing w:before="156" w:beforeLines="50" w:after="156" w:afterLines="50"/>
              <w:jc w:val="center"/>
              <w:rPr>
                <w:rFonts w:hint="eastAsia" w:ascii="宋体" w:hAnsi="宋体" w:eastAsia="宋体"/>
                <w:szCs w:val="21"/>
                <w:lang w:eastAsia="zh-CN"/>
              </w:rPr>
            </w:pPr>
            <w:r>
              <w:rPr>
                <w:rFonts w:hint="eastAsia" w:ascii="宋体" w:hAnsi="宋体" w:eastAsia="宋体"/>
                <w:szCs w:val="21"/>
                <w:lang w:val="en-US" w:eastAsia="zh-CN"/>
              </w:rPr>
              <w:t>非货币性资产交换</w:t>
            </w:r>
          </w:p>
        </w:tc>
        <w:tc>
          <w:tcPr>
            <w:tcW w:w="2619" w:type="dxa"/>
            <w:vAlign w:val="center"/>
          </w:tcPr>
          <w:p>
            <w:pPr>
              <w:widowControl/>
              <w:spacing w:before="156" w:beforeLines="50" w:after="156" w:afterLines="50"/>
              <w:jc w:val="left"/>
              <w:rPr>
                <w:rFonts w:hint="default" w:ascii="宋体" w:hAnsi="宋体" w:eastAsia="宋体"/>
                <w:szCs w:val="21"/>
                <w:lang w:val="en-US" w:eastAsia="zh-CN"/>
              </w:rPr>
            </w:pPr>
            <w:r>
              <w:rPr>
                <w:rFonts w:hint="eastAsia" w:ascii="宋体" w:hAnsi="宋体" w:eastAsia="宋体"/>
                <w:szCs w:val="21"/>
                <w:lang w:val="en-US" w:eastAsia="zh-CN"/>
              </w:rPr>
              <w:t>根据修订后的新准则，学习非货币性资产交换的会计处理，包括一换一和多换多不同形式</w:t>
            </w:r>
          </w:p>
        </w:tc>
        <w:tc>
          <w:tcPr>
            <w:tcW w:w="750" w:type="dxa"/>
            <w:vAlign w:val="center"/>
          </w:tcPr>
          <w:p>
            <w:pPr>
              <w:widowControl/>
              <w:spacing w:before="156" w:beforeLines="50" w:after="156" w:afterLines="50"/>
              <w:jc w:val="center"/>
              <w:rPr>
                <w:rFonts w:hint="eastAsia" w:ascii="宋体" w:hAnsi="宋体" w:eastAsia="宋体"/>
                <w:szCs w:val="21"/>
                <w:lang w:eastAsia="zh-CN"/>
              </w:rPr>
            </w:pPr>
            <w:r>
              <w:rPr>
                <w:rFonts w:hint="eastAsia" w:ascii="宋体" w:hAnsi="宋体" w:eastAsia="宋体"/>
                <w:szCs w:val="21"/>
                <w:lang w:val="en-US" w:eastAsia="zh-CN"/>
              </w:rPr>
              <w:t>6</w:t>
            </w:r>
          </w:p>
        </w:tc>
        <w:tc>
          <w:tcPr>
            <w:tcW w:w="1699"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完成课后习题</w:t>
            </w:r>
          </w:p>
        </w:tc>
        <w:tc>
          <w:tcPr>
            <w:tcW w:w="5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3-4</w:t>
            </w:r>
          </w:p>
        </w:tc>
        <w:tc>
          <w:tcPr>
            <w:tcW w:w="750" w:type="dxa"/>
            <w:vAlign w:val="center"/>
          </w:tcPr>
          <w:p>
            <w:pPr>
              <w:widowControl/>
              <w:spacing w:before="156" w:beforeLines="50" w:after="156" w:afterLines="50"/>
              <w:jc w:val="center"/>
              <w:rPr>
                <w:rFonts w:ascii="宋体" w:hAnsi="宋体" w:eastAsia="宋体"/>
                <w:szCs w:val="21"/>
              </w:rPr>
            </w:pPr>
          </w:p>
        </w:tc>
        <w:tc>
          <w:tcPr>
            <w:tcW w:w="1181" w:type="dxa"/>
            <w:vAlign w:val="center"/>
          </w:tcPr>
          <w:p>
            <w:pPr>
              <w:widowControl/>
              <w:spacing w:before="156" w:beforeLines="50" w:after="156" w:afterLines="50"/>
              <w:jc w:val="center"/>
              <w:rPr>
                <w:rFonts w:hint="eastAsia" w:ascii="宋体" w:hAnsi="宋体" w:eastAsia="宋体"/>
                <w:szCs w:val="21"/>
                <w:lang w:eastAsia="zh-CN"/>
              </w:rPr>
            </w:pPr>
            <w:r>
              <w:rPr>
                <w:rFonts w:hint="eastAsia" w:ascii="宋体" w:hAnsi="宋体" w:eastAsia="宋体"/>
                <w:szCs w:val="21"/>
                <w:lang w:val="en-US" w:eastAsia="zh-CN"/>
              </w:rPr>
              <w:t>债务重组</w:t>
            </w:r>
          </w:p>
        </w:tc>
        <w:tc>
          <w:tcPr>
            <w:tcW w:w="2619" w:type="dxa"/>
            <w:vAlign w:val="center"/>
          </w:tcPr>
          <w:p>
            <w:pPr>
              <w:widowControl/>
              <w:spacing w:before="156" w:beforeLines="50" w:after="156" w:afterLines="50"/>
              <w:jc w:val="left"/>
              <w:rPr>
                <w:rFonts w:hint="default" w:ascii="宋体" w:hAnsi="宋体" w:eastAsia="宋体"/>
                <w:szCs w:val="21"/>
                <w:lang w:val="en-US"/>
              </w:rPr>
            </w:pPr>
            <w:r>
              <w:rPr>
                <w:rFonts w:hint="eastAsia" w:ascii="宋体" w:hAnsi="宋体" w:eastAsia="宋体"/>
                <w:szCs w:val="21"/>
                <w:lang w:val="en-US" w:eastAsia="zh-CN"/>
              </w:rPr>
              <w:t>根据修订后的新准则，学习债务重组的会计处理，包括资产清偿债务、债务转为权益工具、修改其他条款等多种形式</w:t>
            </w:r>
          </w:p>
        </w:tc>
        <w:tc>
          <w:tcPr>
            <w:tcW w:w="750" w:type="dxa"/>
            <w:vAlign w:val="center"/>
          </w:tcPr>
          <w:p>
            <w:pPr>
              <w:widowControl/>
              <w:spacing w:before="156" w:beforeLines="50" w:after="156" w:afterLines="50"/>
              <w:jc w:val="center"/>
              <w:rPr>
                <w:rFonts w:hint="eastAsia" w:ascii="宋体" w:hAnsi="宋体" w:eastAsia="宋体"/>
                <w:szCs w:val="21"/>
                <w:lang w:eastAsia="zh-CN"/>
              </w:rPr>
            </w:pPr>
            <w:r>
              <w:rPr>
                <w:rFonts w:hint="eastAsia" w:ascii="宋体" w:hAnsi="宋体" w:eastAsia="宋体"/>
                <w:szCs w:val="21"/>
                <w:lang w:val="en-US" w:eastAsia="zh-CN"/>
              </w:rPr>
              <w:t>6</w:t>
            </w:r>
          </w:p>
        </w:tc>
        <w:tc>
          <w:tcPr>
            <w:tcW w:w="1699"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lang w:val="en-US" w:eastAsia="zh-CN"/>
              </w:rPr>
              <w:t>完成课后习题</w:t>
            </w:r>
          </w:p>
        </w:tc>
        <w:tc>
          <w:tcPr>
            <w:tcW w:w="5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lang w:val="en-US" w:eastAsia="zh-CN"/>
              </w:rPr>
              <w:t>5</w:t>
            </w:r>
            <w:r>
              <w:rPr>
                <w:rFonts w:ascii="宋体" w:hAnsi="宋体" w:eastAsia="宋体"/>
                <w:szCs w:val="21"/>
              </w:rPr>
              <w:t>-7</w:t>
            </w:r>
          </w:p>
        </w:tc>
        <w:tc>
          <w:tcPr>
            <w:tcW w:w="750" w:type="dxa"/>
            <w:vAlign w:val="center"/>
          </w:tcPr>
          <w:p>
            <w:pPr>
              <w:widowControl/>
              <w:spacing w:before="156" w:beforeLines="50" w:after="156" w:afterLines="50"/>
              <w:jc w:val="center"/>
              <w:rPr>
                <w:rFonts w:ascii="宋体" w:hAnsi="宋体" w:eastAsia="宋体"/>
                <w:szCs w:val="21"/>
              </w:rPr>
            </w:pPr>
          </w:p>
        </w:tc>
        <w:tc>
          <w:tcPr>
            <w:tcW w:w="1181" w:type="dxa"/>
            <w:vAlign w:val="center"/>
          </w:tcPr>
          <w:p>
            <w:pPr>
              <w:widowControl/>
              <w:spacing w:before="156" w:beforeLines="50" w:after="156" w:afterLines="50"/>
              <w:jc w:val="center"/>
              <w:rPr>
                <w:rFonts w:hint="eastAsia" w:ascii="宋体" w:hAnsi="宋体" w:eastAsia="宋体"/>
                <w:szCs w:val="21"/>
                <w:lang w:eastAsia="zh-CN"/>
              </w:rPr>
            </w:pPr>
            <w:r>
              <w:rPr>
                <w:rFonts w:hint="eastAsia" w:ascii="宋体" w:hAnsi="宋体" w:eastAsia="宋体"/>
                <w:lang w:val="en-US" w:eastAsia="zh-CN"/>
              </w:rPr>
              <w:t>股份支付</w:t>
            </w:r>
          </w:p>
        </w:tc>
        <w:tc>
          <w:tcPr>
            <w:tcW w:w="2619" w:type="dxa"/>
            <w:vAlign w:val="center"/>
          </w:tcPr>
          <w:p>
            <w:pPr>
              <w:widowControl/>
              <w:spacing w:before="156" w:beforeLines="50" w:after="156" w:afterLines="50"/>
              <w:jc w:val="left"/>
              <w:rPr>
                <w:rFonts w:hint="default" w:ascii="宋体" w:hAnsi="宋体" w:eastAsia="宋体"/>
                <w:szCs w:val="21"/>
                <w:lang w:val="en-US" w:eastAsia="zh-CN"/>
              </w:rPr>
            </w:pPr>
            <w:r>
              <w:rPr>
                <w:rFonts w:hint="eastAsia" w:ascii="宋体" w:hAnsi="宋体" w:eastAsia="宋体"/>
                <w:szCs w:val="21"/>
                <w:lang w:val="en-US" w:eastAsia="zh-CN"/>
              </w:rPr>
              <w:t>学习上市公司股权激励背景下，不同股权激励方式的会计处理，包括股票期权、限制性股票以及现金股票增值权</w:t>
            </w:r>
          </w:p>
        </w:tc>
        <w:tc>
          <w:tcPr>
            <w:tcW w:w="750" w:type="dxa"/>
            <w:vAlign w:val="center"/>
          </w:tcPr>
          <w:p>
            <w:pPr>
              <w:widowControl/>
              <w:spacing w:before="156" w:beforeLines="50" w:after="156" w:afterLines="50"/>
              <w:jc w:val="center"/>
              <w:rPr>
                <w:rFonts w:hint="eastAsia" w:ascii="宋体" w:hAnsi="宋体" w:eastAsia="宋体"/>
                <w:szCs w:val="21"/>
                <w:lang w:eastAsia="zh-CN"/>
              </w:rPr>
            </w:pPr>
            <w:r>
              <w:rPr>
                <w:rFonts w:hint="eastAsia" w:ascii="宋体" w:hAnsi="宋体" w:eastAsia="宋体"/>
                <w:szCs w:val="21"/>
                <w:lang w:val="en-US" w:eastAsia="zh-CN"/>
              </w:rPr>
              <w:t>9</w:t>
            </w:r>
          </w:p>
        </w:tc>
        <w:tc>
          <w:tcPr>
            <w:tcW w:w="1699" w:type="dxa"/>
            <w:vAlign w:val="center"/>
          </w:tcPr>
          <w:p>
            <w:pPr>
              <w:widowControl/>
              <w:spacing w:before="156" w:beforeLines="50" w:after="156" w:afterLines="50"/>
              <w:jc w:val="center"/>
              <w:rPr>
                <w:rFonts w:hint="eastAsia" w:ascii="宋体" w:hAnsi="宋体" w:eastAsia="宋体"/>
                <w:szCs w:val="21"/>
              </w:rPr>
            </w:pPr>
            <w:r>
              <w:rPr>
                <w:rFonts w:hint="eastAsia" w:ascii="宋体" w:hAnsi="宋体" w:eastAsia="宋体"/>
                <w:szCs w:val="21"/>
                <w:lang w:val="en-US" w:eastAsia="zh-CN"/>
              </w:rPr>
              <w:t>完成课后习题</w:t>
            </w:r>
          </w:p>
        </w:tc>
        <w:tc>
          <w:tcPr>
            <w:tcW w:w="5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rPr>
              <w:t>8-</w:t>
            </w:r>
            <w:r>
              <w:rPr>
                <w:rFonts w:hint="eastAsia" w:ascii="宋体" w:hAnsi="宋体" w:eastAsia="宋体"/>
                <w:szCs w:val="21"/>
                <w:lang w:val="en-US" w:eastAsia="zh-CN"/>
              </w:rPr>
              <w:t>10</w:t>
            </w:r>
          </w:p>
        </w:tc>
        <w:tc>
          <w:tcPr>
            <w:tcW w:w="750" w:type="dxa"/>
            <w:vAlign w:val="center"/>
          </w:tcPr>
          <w:p>
            <w:pPr>
              <w:widowControl/>
              <w:spacing w:before="156" w:beforeLines="50" w:after="156" w:afterLines="50"/>
              <w:jc w:val="center"/>
              <w:rPr>
                <w:rFonts w:ascii="宋体" w:hAnsi="宋体" w:eastAsia="宋体"/>
                <w:szCs w:val="21"/>
              </w:rPr>
            </w:pPr>
          </w:p>
        </w:tc>
        <w:tc>
          <w:tcPr>
            <w:tcW w:w="1181" w:type="dxa"/>
            <w:vAlign w:val="center"/>
          </w:tcPr>
          <w:p>
            <w:pPr>
              <w:widowControl/>
              <w:spacing w:before="156" w:beforeLines="50" w:after="156" w:afterLines="50"/>
              <w:jc w:val="center"/>
              <w:rPr>
                <w:rFonts w:hint="eastAsia" w:ascii="宋体" w:hAnsi="宋体" w:eastAsia="宋体"/>
                <w:szCs w:val="21"/>
                <w:lang w:eastAsia="zh-CN"/>
              </w:rPr>
            </w:pPr>
            <w:r>
              <w:rPr>
                <w:rFonts w:hint="eastAsia" w:ascii="宋体" w:hAnsi="宋体" w:eastAsia="宋体"/>
                <w:lang w:val="en-US" w:eastAsia="zh-CN"/>
              </w:rPr>
              <w:t>租赁</w:t>
            </w:r>
          </w:p>
        </w:tc>
        <w:tc>
          <w:tcPr>
            <w:tcW w:w="2619" w:type="dxa"/>
            <w:vAlign w:val="center"/>
          </w:tcPr>
          <w:p>
            <w:pPr>
              <w:widowControl/>
              <w:spacing w:before="156" w:beforeLines="50" w:after="156" w:afterLines="50"/>
              <w:jc w:val="left"/>
              <w:rPr>
                <w:rFonts w:hint="default" w:ascii="宋体" w:hAnsi="宋体" w:eastAsia="宋体"/>
                <w:szCs w:val="21"/>
                <w:lang w:val="en-US"/>
              </w:rPr>
            </w:pPr>
            <w:r>
              <w:rPr>
                <w:rFonts w:hint="eastAsia" w:ascii="宋体" w:hAnsi="宋体" w:eastAsia="宋体"/>
                <w:szCs w:val="21"/>
                <w:lang w:val="en-US" w:eastAsia="zh-CN"/>
              </w:rPr>
              <w:t>根据修订后的新准则，学习不同租赁角度的会计处理，包括承租人角度、出租人角度以及特殊租赁业务的会计处理</w:t>
            </w:r>
          </w:p>
        </w:tc>
        <w:tc>
          <w:tcPr>
            <w:tcW w:w="750" w:type="dxa"/>
            <w:vAlign w:val="center"/>
          </w:tcPr>
          <w:p>
            <w:pPr>
              <w:widowControl/>
              <w:spacing w:before="156" w:beforeLines="50" w:after="156" w:afterLines="50"/>
              <w:jc w:val="center"/>
              <w:rPr>
                <w:rFonts w:hint="eastAsia" w:ascii="宋体" w:hAnsi="宋体" w:eastAsia="宋体"/>
                <w:szCs w:val="21"/>
                <w:lang w:eastAsia="zh-CN"/>
              </w:rPr>
            </w:pPr>
            <w:r>
              <w:rPr>
                <w:rFonts w:hint="eastAsia" w:ascii="宋体" w:hAnsi="宋体" w:eastAsia="宋体"/>
                <w:szCs w:val="21"/>
                <w:lang w:val="en-US" w:eastAsia="zh-CN"/>
              </w:rPr>
              <w:t>9</w:t>
            </w:r>
          </w:p>
        </w:tc>
        <w:tc>
          <w:tcPr>
            <w:tcW w:w="1699"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lang w:val="en-US" w:eastAsia="zh-CN"/>
              </w:rPr>
              <w:t>完成课后习题</w:t>
            </w:r>
          </w:p>
        </w:tc>
        <w:tc>
          <w:tcPr>
            <w:tcW w:w="5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 w:type="dxa"/>
            <w:vAlign w:val="center"/>
          </w:tcPr>
          <w:p>
            <w:pPr>
              <w:widowControl/>
              <w:spacing w:before="156" w:beforeLines="50" w:after="156" w:afterLines="50"/>
              <w:jc w:val="center"/>
              <w:rPr>
                <w:rFonts w:hint="eastAsia" w:ascii="宋体" w:hAnsi="宋体" w:eastAsia="宋体"/>
                <w:szCs w:val="21"/>
                <w:lang w:eastAsia="zh-CN"/>
              </w:rPr>
            </w:pPr>
            <w:r>
              <w:rPr>
                <w:rFonts w:hint="eastAsia" w:ascii="宋体" w:hAnsi="宋体" w:eastAsia="宋体"/>
                <w:szCs w:val="21"/>
              </w:rPr>
              <w:t>1</w:t>
            </w:r>
            <w:r>
              <w:rPr>
                <w:rFonts w:hint="eastAsia" w:ascii="宋体" w:hAnsi="宋体" w:eastAsia="宋体"/>
                <w:szCs w:val="21"/>
                <w:lang w:val="en-US" w:eastAsia="zh-CN"/>
              </w:rPr>
              <w:t>1</w:t>
            </w:r>
            <w:r>
              <w:rPr>
                <w:rFonts w:hint="eastAsia" w:ascii="宋体" w:hAnsi="宋体" w:eastAsia="宋体"/>
                <w:szCs w:val="21"/>
              </w:rPr>
              <w:t>-</w:t>
            </w:r>
            <w:r>
              <w:rPr>
                <w:rFonts w:ascii="宋体" w:hAnsi="宋体" w:eastAsia="宋体"/>
                <w:szCs w:val="21"/>
              </w:rPr>
              <w:t>1</w:t>
            </w:r>
            <w:r>
              <w:rPr>
                <w:rFonts w:hint="eastAsia" w:ascii="宋体" w:hAnsi="宋体" w:eastAsia="宋体"/>
                <w:szCs w:val="21"/>
                <w:lang w:val="en-US" w:eastAsia="zh-CN"/>
              </w:rPr>
              <w:t>4</w:t>
            </w:r>
          </w:p>
        </w:tc>
        <w:tc>
          <w:tcPr>
            <w:tcW w:w="750" w:type="dxa"/>
            <w:vAlign w:val="center"/>
          </w:tcPr>
          <w:p>
            <w:pPr>
              <w:widowControl/>
              <w:spacing w:before="156" w:beforeLines="50" w:after="156" w:afterLines="50"/>
              <w:jc w:val="center"/>
              <w:rPr>
                <w:rFonts w:ascii="宋体" w:hAnsi="宋体" w:eastAsia="宋体"/>
                <w:szCs w:val="21"/>
              </w:rPr>
            </w:pPr>
          </w:p>
        </w:tc>
        <w:tc>
          <w:tcPr>
            <w:tcW w:w="1181" w:type="dxa"/>
            <w:vAlign w:val="center"/>
          </w:tcPr>
          <w:p>
            <w:pPr>
              <w:widowControl/>
              <w:spacing w:before="156" w:beforeLines="50" w:after="156" w:afterLines="50"/>
              <w:jc w:val="center"/>
              <w:rPr>
                <w:rFonts w:hint="eastAsia" w:ascii="宋体" w:hAnsi="宋体" w:eastAsia="宋体"/>
                <w:szCs w:val="21"/>
                <w:lang w:eastAsia="zh-CN"/>
              </w:rPr>
            </w:pPr>
            <w:r>
              <w:rPr>
                <w:rFonts w:hint="eastAsia" w:ascii="宋体" w:hAnsi="宋体" w:eastAsia="宋体"/>
                <w:lang w:val="en-US" w:eastAsia="zh-CN"/>
              </w:rPr>
              <w:t>所得税</w:t>
            </w:r>
          </w:p>
        </w:tc>
        <w:tc>
          <w:tcPr>
            <w:tcW w:w="2619" w:type="dxa"/>
            <w:vAlign w:val="center"/>
          </w:tcPr>
          <w:p>
            <w:pPr>
              <w:widowControl/>
              <w:spacing w:before="156" w:beforeLines="50" w:after="156" w:afterLines="50"/>
              <w:jc w:val="left"/>
              <w:rPr>
                <w:rFonts w:hint="default" w:ascii="宋体" w:hAnsi="宋体" w:eastAsia="宋体"/>
                <w:szCs w:val="21"/>
                <w:lang w:val="en-US" w:eastAsia="zh-CN"/>
              </w:rPr>
            </w:pPr>
            <w:r>
              <w:rPr>
                <w:rFonts w:hint="eastAsia" w:ascii="宋体" w:hAnsi="宋体" w:eastAsia="宋体"/>
                <w:szCs w:val="21"/>
                <w:lang w:val="en-US" w:eastAsia="zh-CN"/>
              </w:rPr>
              <w:t>学习资产负债表债务法的会计处理，包括会计和税法差异的识别，暂时性差异的具体会计处理</w:t>
            </w:r>
          </w:p>
        </w:tc>
        <w:tc>
          <w:tcPr>
            <w:tcW w:w="750"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12</w:t>
            </w:r>
          </w:p>
        </w:tc>
        <w:tc>
          <w:tcPr>
            <w:tcW w:w="1699" w:type="dxa"/>
            <w:vAlign w:val="center"/>
          </w:tcPr>
          <w:p>
            <w:pPr>
              <w:widowControl/>
              <w:spacing w:before="156" w:beforeLines="50" w:after="156" w:afterLines="50"/>
              <w:jc w:val="center"/>
              <w:rPr>
                <w:rFonts w:hint="eastAsia" w:ascii="宋体" w:hAnsi="宋体" w:eastAsia="宋体"/>
                <w:szCs w:val="21"/>
              </w:rPr>
            </w:pPr>
            <w:r>
              <w:rPr>
                <w:rFonts w:hint="eastAsia" w:ascii="宋体" w:hAnsi="宋体" w:eastAsia="宋体"/>
                <w:szCs w:val="21"/>
                <w:lang w:val="en-US" w:eastAsia="zh-CN"/>
              </w:rPr>
              <w:t>完成课后习题</w:t>
            </w:r>
          </w:p>
        </w:tc>
        <w:tc>
          <w:tcPr>
            <w:tcW w:w="5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 w:type="dxa"/>
            <w:vAlign w:val="center"/>
          </w:tcPr>
          <w:p>
            <w:pPr>
              <w:widowControl/>
              <w:spacing w:before="156" w:beforeLines="50" w:after="156" w:afterLines="50"/>
              <w:jc w:val="center"/>
              <w:rPr>
                <w:rFonts w:hint="eastAsia" w:ascii="宋体" w:hAnsi="宋体" w:eastAsia="宋体"/>
                <w:szCs w:val="21"/>
                <w:lang w:eastAsia="zh-CN"/>
              </w:rPr>
            </w:pPr>
            <w:r>
              <w:rPr>
                <w:rFonts w:ascii="宋体" w:hAnsi="宋体" w:eastAsia="宋体"/>
                <w:szCs w:val="21"/>
              </w:rPr>
              <w:t>1</w:t>
            </w:r>
            <w:r>
              <w:rPr>
                <w:rFonts w:hint="eastAsia" w:ascii="宋体" w:hAnsi="宋体" w:eastAsia="宋体"/>
                <w:szCs w:val="21"/>
                <w:lang w:val="en-US" w:eastAsia="zh-CN"/>
              </w:rPr>
              <w:t>5</w:t>
            </w:r>
            <w:r>
              <w:rPr>
                <w:rFonts w:hint="eastAsia" w:ascii="宋体" w:hAnsi="宋体" w:eastAsia="宋体"/>
                <w:szCs w:val="21"/>
              </w:rPr>
              <w:t>-</w:t>
            </w:r>
            <w:r>
              <w:rPr>
                <w:rFonts w:ascii="宋体" w:hAnsi="宋体" w:eastAsia="宋体"/>
                <w:szCs w:val="21"/>
              </w:rPr>
              <w:t>1</w:t>
            </w:r>
            <w:r>
              <w:rPr>
                <w:rFonts w:hint="eastAsia" w:ascii="宋体" w:hAnsi="宋体" w:eastAsia="宋体"/>
                <w:szCs w:val="21"/>
                <w:lang w:val="en-US" w:eastAsia="zh-CN"/>
              </w:rPr>
              <w:t>8</w:t>
            </w:r>
          </w:p>
        </w:tc>
        <w:tc>
          <w:tcPr>
            <w:tcW w:w="750" w:type="dxa"/>
            <w:vAlign w:val="center"/>
          </w:tcPr>
          <w:p>
            <w:pPr>
              <w:widowControl/>
              <w:spacing w:before="156" w:beforeLines="50" w:after="156" w:afterLines="50"/>
              <w:jc w:val="center"/>
              <w:rPr>
                <w:rFonts w:ascii="宋体" w:hAnsi="宋体" w:eastAsia="宋体"/>
                <w:szCs w:val="21"/>
              </w:rPr>
            </w:pPr>
          </w:p>
        </w:tc>
        <w:tc>
          <w:tcPr>
            <w:tcW w:w="1181" w:type="dxa"/>
            <w:vAlign w:val="center"/>
          </w:tcPr>
          <w:p>
            <w:pPr>
              <w:widowControl/>
              <w:spacing w:before="156" w:beforeLines="50" w:after="156" w:afterLines="50"/>
              <w:jc w:val="center"/>
              <w:rPr>
                <w:rFonts w:hint="eastAsia" w:ascii="宋体" w:hAnsi="宋体" w:eastAsia="宋体"/>
                <w:szCs w:val="21"/>
                <w:lang w:eastAsia="zh-CN"/>
              </w:rPr>
            </w:pPr>
            <w:r>
              <w:rPr>
                <w:rFonts w:hint="eastAsia" w:ascii="宋体" w:hAnsi="宋体" w:eastAsia="宋体"/>
                <w:lang w:val="en-US" w:eastAsia="zh-CN"/>
              </w:rPr>
              <w:t>合并财务报表</w:t>
            </w:r>
          </w:p>
        </w:tc>
        <w:tc>
          <w:tcPr>
            <w:tcW w:w="2619" w:type="dxa"/>
            <w:vAlign w:val="center"/>
          </w:tcPr>
          <w:p>
            <w:pPr>
              <w:widowControl/>
              <w:spacing w:before="156" w:beforeLines="50" w:after="156" w:afterLines="50"/>
              <w:jc w:val="left"/>
              <w:rPr>
                <w:rFonts w:hint="default" w:ascii="宋体" w:hAnsi="宋体" w:eastAsia="宋体"/>
                <w:szCs w:val="21"/>
                <w:lang w:val="en-US" w:eastAsia="zh-CN"/>
              </w:rPr>
            </w:pPr>
            <w:r>
              <w:rPr>
                <w:rFonts w:hint="eastAsia" w:ascii="宋体" w:hAnsi="宋体" w:eastAsia="宋体"/>
                <w:szCs w:val="21"/>
                <w:lang w:val="en-US" w:eastAsia="zh-CN"/>
              </w:rPr>
              <w:t>学习上市公司合并财务报表的编制包括同一控制和非同一控制合并方式下的会计处理以及不同种类内部交易的会计处理</w:t>
            </w:r>
          </w:p>
        </w:tc>
        <w:tc>
          <w:tcPr>
            <w:tcW w:w="750" w:type="dxa"/>
            <w:vAlign w:val="center"/>
          </w:tcPr>
          <w:p>
            <w:pPr>
              <w:widowControl/>
              <w:spacing w:before="156" w:beforeLines="50" w:after="156" w:afterLines="50"/>
              <w:jc w:val="center"/>
              <w:rPr>
                <w:rFonts w:hint="eastAsia" w:ascii="宋体" w:hAnsi="宋体" w:eastAsia="宋体"/>
                <w:szCs w:val="21"/>
                <w:lang w:eastAsia="zh-CN"/>
              </w:rPr>
            </w:pPr>
            <w:r>
              <w:rPr>
                <w:rFonts w:hint="eastAsia" w:ascii="宋体" w:hAnsi="宋体" w:eastAsia="宋体"/>
                <w:szCs w:val="21"/>
                <w:lang w:val="en-US" w:eastAsia="zh-CN"/>
              </w:rPr>
              <w:t>12</w:t>
            </w:r>
          </w:p>
        </w:tc>
        <w:tc>
          <w:tcPr>
            <w:tcW w:w="1699" w:type="dxa"/>
            <w:vAlign w:val="center"/>
          </w:tcPr>
          <w:p>
            <w:pPr>
              <w:widowControl/>
              <w:spacing w:before="156" w:beforeLines="50" w:after="156" w:afterLines="50"/>
              <w:jc w:val="center"/>
              <w:rPr>
                <w:rFonts w:hint="eastAsia" w:ascii="宋体" w:hAnsi="宋体" w:eastAsia="宋体"/>
                <w:szCs w:val="21"/>
              </w:rPr>
            </w:pPr>
            <w:r>
              <w:rPr>
                <w:rFonts w:hint="eastAsia" w:ascii="宋体" w:hAnsi="宋体" w:eastAsia="宋体"/>
                <w:szCs w:val="21"/>
                <w:lang w:val="en-US" w:eastAsia="zh-CN"/>
              </w:rPr>
              <w:t>完成课后习题</w:t>
            </w:r>
          </w:p>
        </w:tc>
        <w:tc>
          <w:tcPr>
            <w:tcW w:w="504" w:type="dxa"/>
            <w:vAlign w:val="center"/>
          </w:tcPr>
          <w:p>
            <w:pPr>
              <w:widowControl/>
              <w:spacing w:before="156" w:beforeLines="50" w:after="156" w:afterLines="50"/>
              <w:jc w:val="center"/>
              <w:rPr>
                <w:rFonts w:ascii="宋体" w:hAnsi="宋体" w:eastAsia="宋体"/>
                <w:szCs w:val="21"/>
              </w:rPr>
            </w:pPr>
          </w:p>
        </w:tc>
      </w:tr>
    </w:tbl>
    <w:p>
      <w:pPr>
        <w:widowControl/>
        <w:spacing w:before="156" w:beforeLines="50" w:after="156" w:afterLines="50"/>
        <w:ind w:firstLine="562" w:firstLineChars="200"/>
        <w:jc w:val="left"/>
        <w:rPr>
          <w:rFonts w:hint="eastAsia" w:eastAsia="黑体"/>
          <w:lang w:eastAsia="zh-CN"/>
        </w:rPr>
      </w:pPr>
      <w:r>
        <w:rPr>
          <w:rFonts w:hint="eastAsia" w:ascii="黑体" w:hAnsi="黑体" w:eastAsia="黑体"/>
          <w:b/>
          <w:sz w:val="28"/>
          <w:szCs w:val="28"/>
          <w:lang w:eastAsia="zh-CN"/>
        </w:rPr>
        <w:t>六</w:t>
      </w:r>
      <w:r>
        <w:rPr>
          <w:rFonts w:hint="eastAsia" w:ascii="黑体" w:hAnsi="黑体" w:eastAsia="黑体"/>
          <w:b/>
          <w:sz w:val="28"/>
          <w:szCs w:val="28"/>
        </w:rPr>
        <w:t>、教材及参考书目</w:t>
      </w:r>
      <w:r>
        <w:rPr>
          <w:rFonts w:hint="eastAsia" w:ascii="黑体" w:hAnsi="黑体" w:eastAsia="黑体"/>
          <w:b/>
          <w:sz w:val="28"/>
          <w:szCs w:val="28"/>
          <w:lang w:eastAsia="zh-CN"/>
        </w:rPr>
        <w:t>（以最新版为准）</w:t>
      </w:r>
    </w:p>
    <w:p>
      <w:pPr>
        <w:widowControl/>
        <w:spacing w:before="156" w:beforeLines="50" w:after="156" w:afterLines="50"/>
        <w:ind w:firstLine="420" w:firstLineChars="200"/>
        <w:jc w:val="left"/>
        <w:rPr>
          <w:rFonts w:hint="eastAsia" w:ascii="宋体" w:hAnsi="宋体" w:eastAsia="宋体"/>
          <w:lang w:val="en-US" w:eastAsia="zh-CN"/>
        </w:rPr>
      </w:pPr>
      <w:r>
        <w:rPr>
          <w:rFonts w:ascii="宋体" w:hAnsi="宋体" w:eastAsia="宋体"/>
        </w:rPr>
        <w:t>1</w:t>
      </w:r>
      <w:r>
        <w:rPr>
          <w:rFonts w:hint="eastAsia" w:ascii="宋体" w:hAnsi="宋体" w:eastAsia="宋体"/>
        </w:rPr>
        <w:t>．</w:t>
      </w:r>
      <w:r>
        <w:rPr>
          <w:rFonts w:ascii="宋体" w:hAnsi="宋体" w:eastAsia="宋体"/>
        </w:rPr>
        <w:t>《会计》，中国注册会计师协会，中国财政经济出版社</w:t>
      </w:r>
      <w:r>
        <w:rPr>
          <w:rFonts w:hint="eastAsia" w:ascii="宋体" w:hAnsi="宋体" w:eastAsia="宋体"/>
          <w:lang w:eastAsia="zh-CN"/>
        </w:rPr>
        <w:t>，</w:t>
      </w:r>
      <w:r>
        <w:rPr>
          <w:rFonts w:hint="eastAsia" w:ascii="宋体" w:hAnsi="宋体" w:eastAsia="宋体"/>
          <w:lang w:val="en-US" w:eastAsia="zh-CN"/>
        </w:rPr>
        <w:t>2023年</w:t>
      </w:r>
      <w:r>
        <w:rPr>
          <w:rFonts w:hint="eastAsia" w:ascii="宋体" w:hAnsi="宋体" w:eastAsia="宋体"/>
          <w:lang w:eastAsia="zh-CN"/>
        </w:rPr>
        <w:t>；</w:t>
      </w:r>
    </w:p>
    <w:p>
      <w:pPr>
        <w:widowControl/>
        <w:spacing w:before="156" w:beforeLines="50" w:after="156" w:afterLines="50"/>
        <w:ind w:firstLine="420" w:firstLineChars="200"/>
        <w:jc w:val="left"/>
        <w:rPr>
          <w:rFonts w:hint="eastAsia" w:ascii="宋体" w:hAnsi="宋体" w:eastAsia="宋体"/>
          <w:lang w:val="en-US" w:eastAsia="zh-CN"/>
        </w:rPr>
      </w:pPr>
      <w:r>
        <w:rPr>
          <w:rFonts w:hint="eastAsia" w:ascii="宋体" w:hAnsi="宋体" w:eastAsia="宋体"/>
        </w:rPr>
        <w:t>2．</w:t>
      </w:r>
      <w:r>
        <w:rPr>
          <w:rFonts w:ascii="宋体" w:hAnsi="宋体" w:eastAsia="宋体"/>
        </w:rPr>
        <w:t>《中级会计实务》，中华人民共和国财政部会计资格评价中心，经济科学出版社</w:t>
      </w:r>
      <w:r>
        <w:rPr>
          <w:rFonts w:hint="eastAsia" w:ascii="宋体" w:hAnsi="宋体" w:eastAsia="宋体"/>
          <w:lang w:eastAsia="zh-CN"/>
        </w:rPr>
        <w:t>，</w:t>
      </w:r>
      <w:r>
        <w:rPr>
          <w:rFonts w:hint="eastAsia" w:ascii="宋体" w:hAnsi="宋体" w:eastAsia="宋体"/>
          <w:lang w:val="en-US" w:eastAsia="zh-CN"/>
        </w:rPr>
        <w:t>2023年</w:t>
      </w:r>
      <w:r>
        <w:rPr>
          <w:rFonts w:hint="eastAsia" w:ascii="宋体" w:hAnsi="宋体" w:eastAsia="宋体"/>
          <w:lang w:eastAsia="zh-CN"/>
        </w:rPr>
        <w:t>；</w:t>
      </w:r>
    </w:p>
    <w:p>
      <w:pPr>
        <w:widowControl/>
        <w:spacing w:before="156" w:beforeLines="50" w:after="156" w:afterLines="50"/>
        <w:ind w:firstLine="420" w:firstLineChars="200"/>
        <w:jc w:val="left"/>
        <w:rPr>
          <w:rFonts w:hint="default" w:ascii="宋体" w:hAnsi="宋体" w:eastAsia="宋体"/>
          <w:lang w:val="en-US" w:eastAsia="zh-CN"/>
        </w:rPr>
      </w:pPr>
      <w:r>
        <w:rPr>
          <w:rFonts w:hint="eastAsia" w:ascii="宋体" w:hAnsi="宋体" w:eastAsia="宋体"/>
          <w:lang w:val="en-US" w:eastAsia="zh-CN"/>
        </w:rPr>
        <w:t>3.《财务会计理论与实务》，毛新述，中国人民大学出版社，2022年。</w:t>
      </w:r>
    </w:p>
    <w:p>
      <w:pPr>
        <w:widowControl/>
        <w:spacing w:before="156" w:beforeLines="50" w:after="156" w:afterLines="50"/>
        <w:jc w:val="left"/>
        <w:rPr>
          <w:rFonts w:ascii="宋体" w:hAnsi="宋体" w:eastAsia="宋体"/>
        </w:rPr>
      </w:pPr>
      <w:r>
        <w:rPr>
          <w:rFonts w:hint="eastAsia" w:ascii="宋体" w:hAnsi="宋体" w:eastAsia="宋体"/>
        </w:rPr>
        <w:t xml:space="preserve"> </w:t>
      </w:r>
      <w:r>
        <w:rPr>
          <w:rFonts w:hint="eastAsia" w:ascii="黑体" w:hAnsi="黑体" w:eastAsia="黑体"/>
          <w:b/>
          <w:sz w:val="28"/>
          <w:szCs w:val="28"/>
        </w:rPr>
        <w:t xml:space="preserve"> </w:t>
      </w:r>
      <w:r>
        <w:rPr>
          <w:rFonts w:hint="eastAsia" w:ascii="黑体" w:hAnsi="黑体" w:eastAsia="黑体"/>
          <w:b/>
          <w:sz w:val="28"/>
          <w:szCs w:val="28"/>
          <w:lang w:eastAsia="zh-CN"/>
        </w:rPr>
        <w:t>七</w:t>
      </w:r>
      <w:r>
        <w:rPr>
          <w:rFonts w:hint="eastAsia" w:ascii="黑体" w:hAnsi="黑体" w:eastAsia="黑体"/>
          <w:b/>
          <w:sz w:val="28"/>
          <w:szCs w:val="28"/>
        </w:rPr>
        <w:t xml:space="preserve">、教学方法 </w:t>
      </w:r>
    </w:p>
    <w:p>
      <w:pPr>
        <w:widowControl/>
        <w:spacing w:before="156" w:beforeLines="50" w:after="156" w:afterLines="50"/>
        <w:ind w:firstLine="420" w:firstLineChars="200"/>
        <w:jc w:val="left"/>
        <w:rPr>
          <w:rFonts w:hint="eastAsia" w:ascii="宋体" w:hAnsi="宋体" w:eastAsia="宋体"/>
          <w:lang w:eastAsia="zh-CN"/>
        </w:rPr>
      </w:pPr>
      <w:r>
        <w:rPr>
          <w:rFonts w:hint="eastAsia" w:ascii="宋体" w:hAnsi="宋体" w:eastAsia="宋体"/>
        </w:rPr>
        <w:t>1．</w:t>
      </w:r>
      <w:r>
        <w:rPr>
          <w:rFonts w:hint="eastAsia" w:ascii="宋体" w:hAnsi="宋体" w:eastAsia="宋体"/>
          <w:lang w:eastAsia="zh-CN"/>
        </w:rPr>
        <w:t>讲授法：理论讲授，主要教学方法，贯穿教学全过程。</w:t>
      </w:r>
    </w:p>
    <w:p>
      <w:pPr>
        <w:widowControl/>
        <w:spacing w:before="156" w:beforeLines="50" w:after="156" w:afterLines="50"/>
        <w:ind w:firstLine="420" w:firstLineChars="200"/>
        <w:jc w:val="left"/>
        <w:rPr>
          <w:rFonts w:hint="eastAsia" w:ascii="宋体" w:hAnsi="宋体" w:eastAsia="宋体"/>
          <w:lang w:eastAsia="zh-CN"/>
        </w:rPr>
      </w:pPr>
      <w:r>
        <w:rPr>
          <w:rFonts w:hint="eastAsia" w:ascii="宋体" w:hAnsi="宋体" w:eastAsia="宋体"/>
        </w:rPr>
        <w:t>2．</w:t>
      </w:r>
      <w:r>
        <w:rPr>
          <w:rFonts w:hint="eastAsia" w:ascii="宋体" w:hAnsi="宋体" w:eastAsia="宋体"/>
          <w:lang w:eastAsia="zh-CN"/>
        </w:rPr>
        <w:t>讨论法：对本门课程的主要内容，采用问题形式，在师生和学生之间展开讨论。</w:t>
      </w:r>
    </w:p>
    <w:p>
      <w:pPr>
        <w:widowControl/>
        <w:spacing w:before="156" w:beforeLines="50" w:after="156" w:afterLines="50"/>
        <w:ind w:firstLine="420" w:firstLineChars="200"/>
        <w:jc w:val="left"/>
        <w:rPr>
          <w:rFonts w:hint="eastAsia" w:ascii="宋体" w:hAnsi="宋体" w:eastAsia="宋体"/>
          <w:lang w:val="en-US" w:eastAsia="zh-CN"/>
        </w:rPr>
      </w:pPr>
      <w:r>
        <w:rPr>
          <w:rFonts w:hint="eastAsia" w:ascii="宋体" w:hAnsi="宋体" w:eastAsia="宋体"/>
          <w:lang w:val="en-US" w:eastAsia="zh-CN"/>
        </w:rPr>
        <w:t>3. 举例法：通过举例，强化学生对相关知识点的认识。</w:t>
      </w:r>
    </w:p>
    <w:p>
      <w:pPr>
        <w:widowControl/>
        <w:spacing w:before="156" w:beforeLines="50" w:after="156" w:afterLines="50"/>
        <w:ind w:firstLine="420" w:firstLineChars="200"/>
        <w:jc w:val="left"/>
        <w:rPr>
          <w:rFonts w:hint="default" w:ascii="宋体" w:hAnsi="宋体" w:eastAsia="宋体"/>
          <w:lang w:val="en-US" w:eastAsia="zh-CN"/>
        </w:rPr>
      </w:pPr>
      <w:r>
        <w:rPr>
          <w:rFonts w:hint="eastAsia" w:ascii="宋体" w:hAnsi="宋体" w:eastAsia="宋体"/>
          <w:lang w:val="en-US" w:eastAsia="zh-CN"/>
        </w:rPr>
        <w:t>4. 案例分析法：通过案例解读、案例问题回答，提高学生理论知识运用能力。</w:t>
      </w:r>
    </w:p>
    <w:p>
      <w:pPr>
        <w:widowControl/>
        <w:spacing w:before="156" w:beforeLines="50" w:after="156" w:afterLines="50"/>
        <w:jc w:val="left"/>
        <w:rPr>
          <w:rFonts w:ascii="黑体" w:hAnsi="黑体" w:eastAsia="黑体"/>
          <w:b/>
          <w:sz w:val="28"/>
          <w:szCs w:val="28"/>
        </w:rPr>
      </w:pPr>
      <w:r>
        <w:rPr>
          <w:rFonts w:hint="eastAsia" w:ascii="宋体" w:hAnsi="宋体" w:eastAsia="宋体"/>
        </w:rPr>
        <w:t xml:space="preserve"> </w:t>
      </w:r>
      <w:r>
        <w:rPr>
          <w:rFonts w:ascii="宋体" w:hAnsi="宋体" w:eastAsia="宋体"/>
        </w:rPr>
        <w:t xml:space="preserve">   </w:t>
      </w:r>
      <w:r>
        <w:rPr>
          <w:rFonts w:hint="eastAsia" w:ascii="黑体" w:hAnsi="黑体" w:eastAsia="黑体"/>
          <w:b/>
          <w:sz w:val="28"/>
          <w:szCs w:val="28"/>
        </w:rPr>
        <w:t xml:space="preserve"> </w:t>
      </w:r>
      <w:r>
        <w:rPr>
          <w:rFonts w:hint="eastAsia" w:ascii="黑体" w:hAnsi="黑体" w:eastAsia="黑体"/>
          <w:b/>
          <w:sz w:val="28"/>
          <w:szCs w:val="28"/>
          <w:lang w:eastAsia="zh-CN"/>
        </w:rPr>
        <w:t>八</w:t>
      </w:r>
      <w:r>
        <w:rPr>
          <w:rFonts w:hint="eastAsia" w:ascii="黑体" w:hAnsi="黑体" w:eastAsia="黑体" w:cs="黑体"/>
          <w:b/>
          <w:sz w:val="28"/>
          <w:szCs w:val="28"/>
        </w:rPr>
        <w:t>、</w:t>
      </w:r>
      <w:r>
        <w:rPr>
          <w:rFonts w:hint="eastAsia" w:ascii="黑体" w:hAnsi="黑体" w:eastAsia="黑体"/>
          <w:b/>
          <w:sz w:val="28"/>
          <w:szCs w:val="28"/>
        </w:rPr>
        <w:t>考核方式及评定方法</w:t>
      </w:r>
    </w:p>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（一）课程考核与课程目标的对应关系 </w:t>
      </w:r>
    </w:p>
    <w:p>
      <w:pPr>
        <w:widowControl/>
        <w:spacing w:before="156" w:beforeLines="50" w:after="156" w:afterLines="50"/>
        <w:jc w:val="center"/>
        <w:rPr>
          <w:rFonts w:ascii="宋体" w:hAnsi="宋体" w:eastAsia="宋体"/>
          <w:szCs w:val="21"/>
        </w:rPr>
      </w:pPr>
      <w:r>
        <w:rPr>
          <w:rFonts w:hint="eastAsia" w:ascii="宋体" w:hAnsi="宋体" w:eastAsia="宋体"/>
          <w:b/>
          <w:szCs w:val="21"/>
        </w:rPr>
        <w:t>表4：课程考核与课程目标的对应关系表</w:t>
      </w:r>
    </w:p>
    <w:tbl>
      <w:tblPr>
        <w:tblStyle w:val="6"/>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7"/>
        <w:gridCol w:w="2849"/>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47" w:type="dxa"/>
            <w:vAlign w:val="center"/>
          </w:tcPr>
          <w:p>
            <w:pPr>
              <w:pStyle w:val="2"/>
              <w:spacing w:before="156" w:beforeLines="50" w:after="156" w:afterLines="50"/>
              <w:jc w:val="center"/>
              <w:rPr>
                <w:rFonts w:hAnsi="宋体"/>
                <w:b/>
              </w:rPr>
            </w:pPr>
            <w:r>
              <w:rPr>
                <w:rFonts w:hint="eastAsia" w:hAnsi="宋体"/>
                <w:b/>
              </w:rPr>
              <w:t>课程目标</w:t>
            </w:r>
          </w:p>
        </w:tc>
        <w:tc>
          <w:tcPr>
            <w:tcW w:w="2849" w:type="dxa"/>
            <w:vAlign w:val="center"/>
          </w:tcPr>
          <w:p>
            <w:pPr>
              <w:pStyle w:val="2"/>
              <w:spacing w:before="156" w:beforeLines="50" w:after="156" w:afterLines="50"/>
              <w:jc w:val="center"/>
              <w:rPr>
                <w:rFonts w:hAnsi="宋体"/>
                <w:b/>
              </w:rPr>
            </w:pPr>
            <w:r>
              <w:rPr>
                <w:rFonts w:hint="eastAsia" w:hAnsi="宋体"/>
                <w:b/>
              </w:rPr>
              <w:t>考核要点</w:t>
            </w:r>
          </w:p>
        </w:tc>
        <w:tc>
          <w:tcPr>
            <w:tcW w:w="2849" w:type="dxa"/>
            <w:vAlign w:val="center"/>
          </w:tcPr>
          <w:p>
            <w:pPr>
              <w:pStyle w:val="2"/>
              <w:spacing w:before="156" w:beforeLines="50" w:after="156" w:afterLines="50"/>
              <w:jc w:val="center"/>
              <w:rPr>
                <w:rFonts w:hAnsi="宋体"/>
                <w:b/>
              </w:rPr>
            </w:pPr>
            <w:r>
              <w:rPr>
                <w:rFonts w:hint="eastAsia" w:hAnsi="宋体"/>
                <w:b/>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Ansi="宋体"/>
              </w:rPr>
            </w:pPr>
            <w:r>
              <w:rPr>
                <w:rFonts w:hint="eastAsia" w:hAnsi="宋体"/>
              </w:rPr>
              <w:t>课程目标1</w:t>
            </w:r>
          </w:p>
        </w:tc>
        <w:tc>
          <w:tcPr>
            <w:tcW w:w="2849" w:type="dxa"/>
            <w:vAlign w:val="center"/>
          </w:tcPr>
          <w:p>
            <w:pPr>
              <w:pStyle w:val="2"/>
              <w:spacing w:before="156" w:beforeLines="50" w:after="156" w:afterLines="50"/>
              <w:jc w:val="both"/>
              <w:rPr>
                <w:rFonts w:hint="default" w:hAnsi="宋体"/>
                <w:b/>
                <w:lang w:val="en-US"/>
              </w:rPr>
            </w:pPr>
            <w:r>
              <w:rPr>
                <w:rFonts w:hint="eastAsia" w:hAnsi="宋体" w:cs="宋体"/>
                <w:b w:val="0"/>
                <w:bCs/>
                <w:lang w:val="en-US" w:eastAsia="zh-CN"/>
              </w:rPr>
              <w:t>掌握最新修订的三条准则（非货币性资产交换、债务重组和租赁）的会计处理</w:t>
            </w:r>
          </w:p>
        </w:tc>
        <w:tc>
          <w:tcPr>
            <w:tcW w:w="2849" w:type="dxa"/>
            <w:vAlign w:val="center"/>
          </w:tcPr>
          <w:p>
            <w:pPr>
              <w:pStyle w:val="13"/>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0"/>
              <w:rPr>
                <w:rFonts w:hint="eastAsia" w:ascii="宋体" w:hAnsi="宋体"/>
                <w:color w:val="000000"/>
                <w:szCs w:val="21"/>
              </w:rPr>
            </w:pPr>
            <w:r>
              <w:rPr>
                <w:rFonts w:hint="eastAsia" w:ascii="宋体" w:hAnsi="宋体"/>
                <w:color w:val="000000"/>
                <w:szCs w:val="21"/>
              </w:rPr>
              <w:t>1.课堂交流</w:t>
            </w:r>
          </w:p>
          <w:p>
            <w:pPr>
              <w:pStyle w:val="13"/>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0"/>
              <w:rPr>
                <w:rFonts w:hint="eastAsia" w:ascii="宋体" w:hAnsi="宋体"/>
                <w:color w:val="000000"/>
                <w:szCs w:val="21"/>
              </w:rPr>
            </w:pPr>
            <w:r>
              <w:rPr>
                <w:rFonts w:hint="eastAsia" w:ascii="宋体" w:hAnsi="宋体"/>
                <w:color w:val="000000"/>
                <w:szCs w:val="21"/>
              </w:rPr>
              <w:t>2.课后作业</w:t>
            </w:r>
          </w:p>
          <w:p>
            <w:pPr>
              <w:pStyle w:val="2"/>
              <w:keepNext w:val="0"/>
              <w:keepLines w:val="0"/>
              <w:pageBreakBefore w:val="0"/>
              <w:widowControl w:val="0"/>
              <w:kinsoku/>
              <w:wordWrap/>
              <w:overflowPunct/>
              <w:topLinePunct w:val="0"/>
              <w:autoSpaceDE/>
              <w:autoSpaceDN/>
              <w:bidi w:val="0"/>
              <w:adjustRightInd/>
              <w:snapToGrid/>
              <w:jc w:val="center"/>
              <w:textAlignment w:val="auto"/>
              <w:rPr>
                <w:rFonts w:hAnsi="宋体"/>
                <w:b/>
              </w:rPr>
            </w:pPr>
            <w:r>
              <w:rPr>
                <w:rFonts w:hint="eastAsia" w:ascii="宋体" w:hAnsi="宋体"/>
                <w:color w:val="000000"/>
                <w:szCs w:val="21"/>
              </w:rPr>
              <w:t>3.期末考试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Ansi="宋体"/>
              </w:rPr>
            </w:pPr>
            <w:r>
              <w:rPr>
                <w:rFonts w:hint="eastAsia" w:hAnsi="宋体"/>
              </w:rPr>
              <w:t>课程目标2</w:t>
            </w:r>
          </w:p>
        </w:tc>
        <w:tc>
          <w:tcPr>
            <w:tcW w:w="2849" w:type="dxa"/>
            <w:vAlign w:val="center"/>
          </w:tcPr>
          <w:p>
            <w:pPr>
              <w:rPr>
                <w:rFonts w:hint="default" w:hAnsi="宋体"/>
                <w:b/>
                <w:lang w:val="en-US"/>
              </w:rPr>
            </w:pPr>
            <w:r>
              <w:rPr>
                <w:rFonts w:hint="eastAsia" w:ascii="宋体" w:hAnsi="宋体" w:eastAsia="宋体" w:cs="宋体"/>
                <w:b w:val="0"/>
                <w:bCs/>
                <w:kern w:val="2"/>
                <w:sz w:val="21"/>
                <w:szCs w:val="20"/>
                <w:lang w:val="en-US" w:eastAsia="zh-CN" w:bidi="ar-SA"/>
              </w:rPr>
              <w:t>掌握常见股权激励的会计处理</w:t>
            </w:r>
          </w:p>
        </w:tc>
        <w:tc>
          <w:tcPr>
            <w:tcW w:w="2849" w:type="dxa"/>
            <w:vAlign w:val="center"/>
          </w:tcPr>
          <w:p>
            <w:pPr>
              <w:pStyle w:val="13"/>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0"/>
              <w:rPr>
                <w:rFonts w:hint="eastAsia" w:ascii="宋体" w:hAnsi="宋体"/>
                <w:color w:val="000000"/>
                <w:szCs w:val="21"/>
              </w:rPr>
            </w:pPr>
            <w:r>
              <w:rPr>
                <w:rFonts w:hint="eastAsia" w:ascii="宋体" w:hAnsi="宋体"/>
                <w:color w:val="000000"/>
                <w:szCs w:val="21"/>
              </w:rPr>
              <w:t>1.课堂交流</w:t>
            </w:r>
          </w:p>
          <w:p>
            <w:pPr>
              <w:pStyle w:val="13"/>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0"/>
              <w:rPr>
                <w:rFonts w:hint="eastAsia" w:ascii="宋体" w:hAnsi="宋体"/>
                <w:color w:val="000000"/>
                <w:szCs w:val="21"/>
              </w:rPr>
            </w:pPr>
            <w:r>
              <w:rPr>
                <w:rFonts w:hint="eastAsia" w:ascii="宋体" w:hAnsi="宋体"/>
                <w:color w:val="000000"/>
                <w:szCs w:val="21"/>
              </w:rPr>
              <w:t>2.课后作业</w:t>
            </w:r>
          </w:p>
          <w:p>
            <w:pPr>
              <w:pStyle w:val="2"/>
              <w:keepNext w:val="0"/>
              <w:keepLines w:val="0"/>
              <w:pageBreakBefore w:val="0"/>
              <w:widowControl w:val="0"/>
              <w:kinsoku/>
              <w:wordWrap/>
              <w:overflowPunct/>
              <w:topLinePunct w:val="0"/>
              <w:autoSpaceDE/>
              <w:autoSpaceDN/>
              <w:bidi w:val="0"/>
              <w:adjustRightInd/>
              <w:snapToGrid/>
              <w:jc w:val="center"/>
              <w:textAlignment w:val="auto"/>
              <w:rPr>
                <w:rFonts w:hAnsi="宋体"/>
                <w:b/>
              </w:rPr>
            </w:pPr>
            <w:r>
              <w:rPr>
                <w:rFonts w:hint="eastAsia" w:ascii="宋体" w:hAnsi="宋体"/>
                <w:color w:val="000000"/>
                <w:szCs w:val="21"/>
              </w:rPr>
              <w:t>3.期末考试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Ansi="宋体"/>
              </w:rPr>
            </w:pPr>
            <w:r>
              <w:rPr>
                <w:rFonts w:hint="eastAsia" w:hAnsi="宋体"/>
              </w:rPr>
              <w:t>课程目标3</w:t>
            </w:r>
          </w:p>
        </w:tc>
        <w:tc>
          <w:tcPr>
            <w:tcW w:w="2849" w:type="dxa"/>
            <w:vAlign w:val="center"/>
          </w:tcPr>
          <w:p>
            <w:pPr>
              <w:pStyle w:val="2"/>
              <w:spacing w:before="156" w:beforeLines="50" w:after="156" w:afterLines="50"/>
              <w:rPr>
                <w:rFonts w:hint="default" w:hAnsi="宋体"/>
                <w:b/>
                <w:lang w:val="en-US"/>
              </w:rPr>
            </w:pPr>
            <w:r>
              <w:rPr>
                <w:rFonts w:hint="eastAsia" w:hAnsi="宋体" w:cs="宋体"/>
                <w:b w:val="0"/>
                <w:bCs/>
                <w:lang w:val="en-US" w:eastAsia="zh-CN"/>
              </w:rPr>
              <w:t>掌握上市公司唯一所得税会计处理方法（资产负债表债务法）</w:t>
            </w:r>
          </w:p>
        </w:tc>
        <w:tc>
          <w:tcPr>
            <w:tcW w:w="2849" w:type="dxa"/>
            <w:vAlign w:val="center"/>
          </w:tcPr>
          <w:p>
            <w:pPr>
              <w:pStyle w:val="13"/>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0"/>
              <w:rPr>
                <w:rFonts w:hint="eastAsia" w:ascii="宋体" w:hAnsi="宋体"/>
                <w:color w:val="000000"/>
                <w:szCs w:val="21"/>
              </w:rPr>
            </w:pPr>
            <w:r>
              <w:rPr>
                <w:rFonts w:hint="eastAsia" w:ascii="宋体" w:hAnsi="宋体"/>
                <w:color w:val="000000"/>
                <w:szCs w:val="21"/>
              </w:rPr>
              <w:t>1.课堂交流</w:t>
            </w:r>
          </w:p>
          <w:p>
            <w:pPr>
              <w:pStyle w:val="13"/>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0"/>
              <w:rPr>
                <w:rFonts w:hint="eastAsia" w:ascii="宋体" w:hAnsi="宋体"/>
                <w:color w:val="000000"/>
                <w:szCs w:val="21"/>
              </w:rPr>
            </w:pPr>
            <w:r>
              <w:rPr>
                <w:rFonts w:hint="eastAsia" w:ascii="宋体" w:hAnsi="宋体"/>
                <w:color w:val="000000"/>
                <w:szCs w:val="21"/>
              </w:rPr>
              <w:t>2.课后作业</w:t>
            </w:r>
          </w:p>
          <w:p>
            <w:pPr>
              <w:pStyle w:val="2"/>
              <w:keepNext w:val="0"/>
              <w:keepLines w:val="0"/>
              <w:pageBreakBefore w:val="0"/>
              <w:widowControl w:val="0"/>
              <w:kinsoku/>
              <w:wordWrap/>
              <w:overflowPunct/>
              <w:topLinePunct w:val="0"/>
              <w:autoSpaceDE/>
              <w:autoSpaceDN/>
              <w:bidi w:val="0"/>
              <w:adjustRightInd/>
              <w:snapToGrid/>
              <w:jc w:val="center"/>
              <w:textAlignment w:val="auto"/>
              <w:rPr>
                <w:rFonts w:hAnsi="宋体"/>
                <w:b/>
              </w:rPr>
            </w:pPr>
            <w:r>
              <w:rPr>
                <w:rFonts w:hint="eastAsia" w:ascii="宋体" w:hAnsi="宋体"/>
                <w:color w:val="000000"/>
                <w:szCs w:val="21"/>
              </w:rPr>
              <w:t>3.期末考试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int="eastAsia" w:hAnsi="宋体" w:eastAsia="宋体"/>
                <w:lang w:eastAsia="zh-CN"/>
              </w:rPr>
            </w:pPr>
            <w:r>
              <w:rPr>
                <w:rFonts w:hint="eastAsia" w:hAnsi="宋体"/>
              </w:rPr>
              <w:t>课程目标</w:t>
            </w:r>
            <w:r>
              <w:rPr>
                <w:rFonts w:hint="eastAsia" w:hAnsi="宋体"/>
                <w:lang w:val="en-US" w:eastAsia="zh-CN"/>
              </w:rPr>
              <w:t>4</w:t>
            </w:r>
          </w:p>
        </w:tc>
        <w:tc>
          <w:tcPr>
            <w:tcW w:w="2849" w:type="dxa"/>
            <w:vAlign w:val="center"/>
          </w:tcPr>
          <w:p>
            <w:pPr>
              <w:pStyle w:val="2"/>
              <w:spacing w:before="156" w:beforeLines="50" w:after="156" w:afterLines="50"/>
              <w:rPr>
                <w:rFonts w:hint="default" w:hAnsi="宋体" w:cs="宋体"/>
                <w:b w:val="0"/>
                <w:bCs/>
                <w:lang w:val="en-US" w:eastAsia="zh-CN"/>
              </w:rPr>
            </w:pPr>
            <w:r>
              <w:rPr>
                <w:rFonts w:hint="eastAsia" w:hAnsi="宋体" w:cs="宋体"/>
                <w:b w:val="0"/>
                <w:bCs/>
                <w:lang w:val="en-US" w:eastAsia="zh-CN"/>
              </w:rPr>
              <w:t>掌握上市公司合并财务报表的日常</w:t>
            </w:r>
            <w:bookmarkStart w:id="0" w:name="_GoBack"/>
            <w:bookmarkEnd w:id="0"/>
            <w:r>
              <w:rPr>
                <w:rFonts w:hint="eastAsia" w:hAnsi="宋体" w:cs="宋体"/>
                <w:b w:val="0"/>
                <w:bCs/>
                <w:lang w:val="en-US" w:eastAsia="zh-CN"/>
              </w:rPr>
              <w:t>会计处理</w:t>
            </w:r>
          </w:p>
        </w:tc>
        <w:tc>
          <w:tcPr>
            <w:tcW w:w="2849" w:type="dxa"/>
            <w:vAlign w:val="center"/>
          </w:tcPr>
          <w:p>
            <w:pPr>
              <w:pStyle w:val="13"/>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0"/>
              <w:rPr>
                <w:rFonts w:hint="eastAsia" w:ascii="宋体" w:hAnsi="宋体"/>
                <w:color w:val="000000"/>
                <w:szCs w:val="21"/>
              </w:rPr>
            </w:pPr>
            <w:r>
              <w:rPr>
                <w:rFonts w:hint="eastAsia" w:ascii="宋体" w:hAnsi="宋体"/>
                <w:color w:val="000000"/>
                <w:szCs w:val="21"/>
              </w:rPr>
              <w:t>1.课堂交流</w:t>
            </w:r>
          </w:p>
          <w:p>
            <w:pPr>
              <w:pStyle w:val="13"/>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0"/>
              <w:rPr>
                <w:rFonts w:hint="eastAsia" w:ascii="宋体" w:hAnsi="宋体"/>
                <w:color w:val="000000"/>
                <w:szCs w:val="21"/>
              </w:rPr>
            </w:pPr>
            <w:r>
              <w:rPr>
                <w:rFonts w:hint="eastAsia" w:ascii="宋体" w:hAnsi="宋体"/>
                <w:color w:val="000000"/>
                <w:szCs w:val="21"/>
              </w:rPr>
              <w:t>2.课后作业</w:t>
            </w:r>
          </w:p>
          <w:p>
            <w:pPr>
              <w:pStyle w:val="2"/>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olor w:val="000000"/>
                <w:szCs w:val="21"/>
              </w:rPr>
            </w:pPr>
            <w:r>
              <w:rPr>
                <w:rFonts w:hint="eastAsia" w:ascii="宋体" w:hAnsi="宋体"/>
                <w:color w:val="000000"/>
                <w:szCs w:val="21"/>
              </w:rPr>
              <w:t>3.期末考试</w:t>
            </w:r>
          </w:p>
        </w:tc>
      </w:tr>
    </w:tbl>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（二）评定方法 </w:t>
      </w:r>
    </w:p>
    <w:p>
      <w:pPr>
        <w:widowControl/>
        <w:spacing w:before="156" w:beforeLines="50" w:after="156" w:afterLines="50"/>
        <w:ind w:firstLine="422" w:firstLineChars="200"/>
        <w:jc w:val="left"/>
        <w:rPr>
          <w:rFonts w:ascii="黑体" w:hAnsi="黑体" w:eastAsia="黑体"/>
          <w:b/>
          <w:sz w:val="24"/>
          <w:szCs w:val="24"/>
        </w:rPr>
      </w:pPr>
      <w:r>
        <w:rPr>
          <w:rFonts w:hint="eastAsia" w:ascii="宋体" w:hAnsi="宋体" w:eastAsia="宋体"/>
          <w:b/>
        </w:rPr>
        <w:t xml:space="preserve">1．评定方法 </w:t>
      </w:r>
    </w:p>
    <w:p>
      <w:pPr>
        <w:widowControl/>
        <w:spacing w:before="156" w:beforeLines="50" w:after="156" w:afterLines="50"/>
        <w:ind w:firstLine="420" w:firstLineChars="200"/>
        <w:jc w:val="left"/>
        <w:rPr>
          <w:rFonts w:hint="eastAsia" w:ascii="宋体" w:hAnsi="宋体" w:eastAsia="宋体"/>
          <w:lang w:eastAsia="zh-CN"/>
        </w:rPr>
      </w:pPr>
      <w:r>
        <w:rPr>
          <w:rFonts w:hint="eastAsia" w:ascii="宋体" w:hAnsi="宋体" w:eastAsia="宋体"/>
        </w:rPr>
        <w:t>平时成绩</w:t>
      </w:r>
      <w:r>
        <w:rPr>
          <w:rFonts w:hint="eastAsia" w:ascii="宋体" w:hAnsi="宋体" w:eastAsia="宋体"/>
          <w:lang w:eastAsia="zh-CN"/>
        </w:rPr>
        <w:t>（含考勤、课堂表现与作业）</w:t>
      </w:r>
      <w:r>
        <w:rPr>
          <w:rFonts w:hint="eastAsia" w:ascii="宋体" w:hAnsi="宋体" w:eastAsia="宋体"/>
          <w:lang w:val="en-US" w:eastAsia="zh-CN"/>
        </w:rPr>
        <w:t>20</w:t>
      </w:r>
      <w:r>
        <w:rPr>
          <w:rFonts w:ascii="宋体" w:hAnsi="宋体" w:eastAsia="宋体"/>
        </w:rPr>
        <w:t>%</w:t>
      </w:r>
      <w:r>
        <w:rPr>
          <w:rFonts w:hint="eastAsia" w:ascii="宋体" w:hAnsi="宋体" w:eastAsia="宋体"/>
        </w:rPr>
        <w:t>，期中考试</w:t>
      </w:r>
      <w:r>
        <w:rPr>
          <w:rFonts w:hint="eastAsia" w:ascii="宋体" w:hAnsi="宋体" w:eastAsia="宋体"/>
          <w:lang w:val="en-US" w:eastAsia="zh-CN"/>
        </w:rPr>
        <w:t>20</w:t>
      </w:r>
      <w:r>
        <w:rPr>
          <w:rFonts w:ascii="宋体" w:hAnsi="宋体" w:eastAsia="宋体"/>
        </w:rPr>
        <w:t>%</w:t>
      </w:r>
      <w:r>
        <w:rPr>
          <w:rFonts w:hint="eastAsia" w:ascii="宋体" w:hAnsi="宋体" w:eastAsia="宋体"/>
          <w:lang w:eastAsia="zh-CN"/>
        </w:rPr>
        <w:t>；</w:t>
      </w:r>
      <w:r>
        <w:rPr>
          <w:rFonts w:hint="eastAsia" w:ascii="宋体" w:hAnsi="宋体" w:eastAsia="宋体"/>
        </w:rPr>
        <w:t>期末考试</w:t>
      </w:r>
      <w:r>
        <w:rPr>
          <w:rFonts w:hint="eastAsia" w:ascii="宋体" w:hAnsi="宋体" w:eastAsia="宋体"/>
          <w:lang w:val="en-US" w:eastAsia="zh-CN"/>
        </w:rPr>
        <w:t>6</w:t>
      </w:r>
      <w:r>
        <w:rPr>
          <w:rFonts w:ascii="宋体" w:hAnsi="宋体" w:eastAsia="宋体"/>
        </w:rPr>
        <w:t>0%</w:t>
      </w:r>
      <w:r>
        <w:rPr>
          <w:rFonts w:hint="eastAsia" w:ascii="宋体" w:hAnsi="宋体" w:eastAsia="宋体"/>
        </w:rPr>
        <w:t>，</w:t>
      </w:r>
      <w:r>
        <w:rPr>
          <w:rFonts w:hint="eastAsia" w:ascii="宋体" w:hAnsi="宋体" w:eastAsia="宋体" w:cs="宋体"/>
          <w:color w:val="000000"/>
          <w:szCs w:val="21"/>
          <w:lang w:eastAsia="zh-CN"/>
        </w:rPr>
        <w:t>闭卷。</w:t>
      </w:r>
    </w:p>
    <w:p>
      <w:pPr>
        <w:widowControl/>
        <w:spacing w:before="156" w:beforeLines="50" w:after="156" w:afterLines="50"/>
        <w:ind w:firstLine="422" w:firstLineChars="200"/>
        <w:jc w:val="left"/>
        <w:rPr>
          <w:rFonts w:ascii="宋体" w:hAnsi="宋体" w:eastAsia="宋体"/>
        </w:rPr>
      </w:pPr>
      <w:r>
        <w:rPr>
          <w:rFonts w:hint="eastAsia" w:ascii="宋体" w:hAnsi="宋体" w:eastAsia="宋体"/>
          <w:b/>
        </w:rPr>
        <w:t xml:space="preserve">2．课程目标的考核占比与达成度分析 </w:t>
      </w:r>
    </w:p>
    <w:p>
      <w:pPr>
        <w:widowControl/>
        <w:spacing w:before="156" w:beforeLines="50" w:after="156" w:afterLines="50"/>
        <w:ind w:firstLine="422" w:firstLineChars="200"/>
        <w:jc w:val="center"/>
        <w:rPr>
          <w:rFonts w:ascii="宋体" w:hAnsi="宋体" w:eastAsia="宋体"/>
          <w:b/>
        </w:rPr>
      </w:pPr>
      <w:r>
        <w:rPr>
          <w:rFonts w:hint="eastAsia" w:ascii="宋体" w:hAnsi="宋体" w:eastAsia="宋体"/>
          <w:b/>
        </w:rPr>
        <w:t>表5：课程目标的考核占比与达成度分析表</w:t>
      </w:r>
    </w:p>
    <w:tbl>
      <w:tblPr>
        <w:tblStyle w:val="6"/>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858"/>
        <w:gridCol w:w="1134"/>
        <w:gridCol w:w="1134"/>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22" w:type="dxa"/>
            <w:tcBorders>
              <w:tl2br w:val="single" w:color="auto" w:sz="4" w:space="0"/>
            </w:tcBorders>
            <w:shd w:val="clear" w:color="auto" w:fill="auto"/>
            <w:vAlign w:val="center"/>
          </w:tcPr>
          <w:p>
            <w:pPr>
              <w:spacing w:before="156" w:beforeLines="50" w:after="156" w:afterLines="50"/>
              <w:rPr>
                <w:rFonts w:ascii="宋体" w:hAnsi="宋体" w:eastAsia="宋体"/>
                <w:b/>
                <w:bCs/>
                <w:kern w:val="0"/>
                <w:szCs w:val="21"/>
              </w:rPr>
            </w:pP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考核占比</w:t>
            </w:r>
          </w:p>
          <w:p>
            <w:pPr>
              <w:spacing w:before="156" w:beforeLines="50" w:after="156" w:afterLines="50"/>
              <w:ind w:firstLine="105" w:firstLineChars="50"/>
              <w:rPr>
                <w:rFonts w:ascii="宋体" w:hAnsi="宋体" w:eastAsia="宋体"/>
                <w:b/>
                <w:bCs/>
                <w:kern w:val="0"/>
                <w:szCs w:val="21"/>
              </w:rPr>
            </w:pPr>
            <w:r>
              <w:rPr>
                <w:rFonts w:hint="eastAsia" w:ascii="宋体" w:hAnsi="宋体" w:eastAsia="宋体"/>
                <w:b/>
                <w:bCs/>
                <w:kern w:val="0"/>
                <w:szCs w:val="21"/>
              </w:rPr>
              <w:t>课程目标</w:t>
            </w:r>
          </w:p>
        </w:tc>
        <w:tc>
          <w:tcPr>
            <w:tcW w:w="858"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平时</w:t>
            </w:r>
          </w:p>
        </w:tc>
        <w:tc>
          <w:tcPr>
            <w:tcW w:w="1134"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期中</w:t>
            </w:r>
          </w:p>
        </w:tc>
        <w:tc>
          <w:tcPr>
            <w:tcW w:w="1134" w:type="dxa"/>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期末</w:t>
            </w:r>
          </w:p>
        </w:tc>
        <w:tc>
          <w:tcPr>
            <w:tcW w:w="2627"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课程目标1</w:t>
            </w:r>
          </w:p>
        </w:tc>
        <w:tc>
          <w:tcPr>
            <w:tcW w:w="858"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20</w:t>
            </w:r>
          </w:p>
        </w:tc>
        <w:tc>
          <w:tcPr>
            <w:tcW w:w="1134"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20</w:t>
            </w:r>
          </w:p>
        </w:tc>
        <w:tc>
          <w:tcPr>
            <w:tcW w:w="1134" w:type="dxa"/>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60</w:t>
            </w:r>
          </w:p>
        </w:tc>
        <w:tc>
          <w:tcPr>
            <w:tcW w:w="2627" w:type="dxa"/>
            <w:vMerge w:val="restart"/>
            <w:shd w:val="clear" w:color="auto" w:fill="auto"/>
            <w:vAlign w:val="center"/>
          </w:tcPr>
          <w:p>
            <w:pPr>
              <w:spacing w:before="156" w:beforeLines="50" w:after="156" w:afterLines="50"/>
              <w:rPr>
                <w:rFonts w:hint="eastAsia" w:ascii="宋体" w:hAnsi="宋体" w:eastAsia="宋体" w:cs="宋体"/>
                <w:kern w:val="0"/>
                <w:szCs w:val="21"/>
              </w:rPr>
            </w:pPr>
            <w:r>
              <w:rPr>
                <w:rFonts w:hint="eastAsia" w:ascii="宋体" w:hAnsi="宋体" w:eastAsia="宋体" w:cs="宋体"/>
                <w:kern w:val="0"/>
                <w:sz w:val="21"/>
                <w:szCs w:val="21"/>
                <w:lang w:eastAsia="zh-CN"/>
              </w:rPr>
              <w:t>总评</w:t>
            </w:r>
            <w:r>
              <w:rPr>
                <w:rFonts w:hint="eastAsia" w:ascii="宋体" w:hAnsi="宋体" w:eastAsia="宋体" w:cs="宋体"/>
                <w:kern w:val="0"/>
                <w:sz w:val="21"/>
                <w:szCs w:val="21"/>
              </w:rPr>
              <w:t>达成度={0.</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平时分目标成绩+0.</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期中分目标成绩  +0.</w:t>
            </w:r>
            <w:r>
              <w:rPr>
                <w:rFonts w:hint="eastAsia" w:ascii="宋体" w:hAnsi="宋体" w:eastAsia="宋体" w:cs="宋体"/>
                <w:kern w:val="0"/>
                <w:sz w:val="21"/>
                <w:szCs w:val="21"/>
                <w:lang w:val="en-US" w:eastAsia="zh-CN"/>
              </w:rPr>
              <w:t>6×</w:t>
            </w:r>
            <w:r>
              <w:rPr>
                <w:rFonts w:hint="eastAsia" w:ascii="宋体" w:hAnsi="宋体" w:eastAsia="宋体" w:cs="宋体"/>
                <w:kern w:val="0"/>
                <w:sz w:val="21"/>
                <w:szCs w:val="21"/>
              </w:rPr>
              <w:t>期末分目标成绩 }/分目标总分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课程目标2</w:t>
            </w:r>
          </w:p>
        </w:tc>
        <w:tc>
          <w:tcPr>
            <w:tcW w:w="858"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20</w:t>
            </w:r>
          </w:p>
        </w:tc>
        <w:tc>
          <w:tcPr>
            <w:tcW w:w="1134"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20</w:t>
            </w:r>
          </w:p>
        </w:tc>
        <w:tc>
          <w:tcPr>
            <w:tcW w:w="1134" w:type="dxa"/>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60</w:t>
            </w:r>
          </w:p>
        </w:tc>
        <w:tc>
          <w:tcPr>
            <w:tcW w:w="2627" w:type="dxa"/>
            <w:vMerge w:val="continue"/>
            <w:tcBorders/>
            <w:shd w:val="clear" w:color="auto" w:fill="auto"/>
            <w:vAlign w:val="center"/>
          </w:tcPr>
          <w:p>
            <w:pPr>
              <w:spacing w:before="156" w:beforeLines="50" w:after="156" w:afterLines="50"/>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课程目标3</w:t>
            </w:r>
          </w:p>
        </w:tc>
        <w:tc>
          <w:tcPr>
            <w:tcW w:w="858"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20</w:t>
            </w:r>
          </w:p>
        </w:tc>
        <w:tc>
          <w:tcPr>
            <w:tcW w:w="1134"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20</w:t>
            </w:r>
          </w:p>
        </w:tc>
        <w:tc>
          <w:tcPr>
            <w:tcW w:w="1134" w:type="dxa"/>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60</w:t>
            </w:r>
          </w:p>
        </w:tc>
        <w:tc>
          <w:tcPr>
            <w:tcW w:w="2627" w:type="dxa"/>
            <w:vMerge w:val="continue"/>
            <w:tcBorders/>
            <w:shd w:val="clear" w:color="auto" w:fill="auto"/>
            <w:vAlign w:val="center"/>
          </w:tcPr>
          <w:p>
            <w:pPr>
              <w:spacing w:before="156" w:beforeLines="50" w:after="156" w:afterLines="50"/>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122" w:type="dxa"/>
            <w:shd w:val="clear" w:color="auto" w:fill="auto"/>
            <w:vAlign w:val="center"/>
          </w:tcPr>
          <w:p>
            <w:pPr>
              <w:spacing w:before="156" w:beforeLines="50" w:after="156" w:afterLines="50"/>
              <w:jc w:val="center"/>
              <w:rPr>
                <w:rFonts w:hint="eastAsia" w:ascii="宋体" w:hAnsi="宋体" w:eastAsia="宋体" w:cstheme="minorBidi"/>
                <w:kern w:val="0"/>
                <w:sz w:val="21"/>
                <w:szCs w:val="21"/>
                <w:lang w:val="en-US" w:eastAsia="zh-CN" w:bidi="ar-SA"/>
              </w:rPr>
            </w:pPr>
            <w:r>
              <w:rPr>
                <w:rFonts w:hint="eastAsia" w:ascii="宋体" w:hAnsi="宋体" w:eastAsia="宋体"/>
                <w:kern w:val="0"/>
                <w:szCs w:val="21"/>
              </w:rPr>
              <w:t>课程目标</w:t>
            </w:r>
            <w:r>
              <w:rPr>
                <w:rFonts w:hint="eastAsia" w:ascii="宋体" w:hAnsi="宋体" w:eastAsia="宋体"/>
                <w:kern w:val="0"/>
                <w:szCs w:val="21"/>
                <w:lang w:val="en-US" w:eastAsia="zh-CN"/>
              </w:rPr>
              <w:t>4</w:t>
            </w:r>
          </w:p>
        </w:tc>
        <w:tc>
          <w:tcPr>
            <w:tcW w:w="858" w:type="dxa"/>
            <w:shd w:val="clear" w:color="auto" w:fill="auto"/>
            <w:vAlign w:val="center"/>
          </w:tcPr>
          <w:p>
            <w:pPr>
              <w:spacing w:before="156" w:beforeLines="50" w:after="156" w:afterLines="50"/>
              <w:jc w:val="center"/>
              <w:rPr>
                <w:rFonts w:hint="eastAsia" w:ascii="宋体" w:hAnsi="宋体" w:eastAsia="宋体" w:cstheme="minorBidi"/>
                <w:kern w:val="0"/>
                <w:sz w:val="21"/>
                <w:szCs w:val="21"/>
                <w:lang w:val="en-US" w:eastAsia="zh-CN" w:bidi="ar-SA"/>
              </w:rPr>
            </w:pPr>
            <w:r>
              <w:rPr>
                <w:rFonts w:hint="eastAsia" w:ascii="宋体" w:hAnsi="宋体" w:eastAsia="宋体"/>
                <w:kern w:val="0"/>
                <w:szCs w:val="21"/>
                <w:lang w:val="en-US" w:eastAsia="zh-CN"/>
              </w:rPr>
              <w:t>20</w:t>
            </w:r>
          </w:p>
        </w:tc>
        <w:tc>
          <w:tcPr>
            <w:tcW w:w="1134" w:type="dxa"/>
            <w:shd w:val="clear" w:color="auto" w:fill="auto"/>
            <w:vAlign w:val="center"/>
          </w:tcPr>
          <w:p>
            <w:pPr>
              <w:spacing w:before="156" w:beforeLines="50" w:after="156" w:afterLines="50"/>
              <w:jc w:val="center"/>
              <w:rPr>
                <w:rFonts w:hint="eastAsia" w:ascii="宋体" w:hAnsi="宋体" w:eastAsia="宋体" w:cstheme="minorBidi"/>
                <w:kern w:val="0"/>
                <w:sz w:val="21"/>
                <w:szCs w:val="21"/>
                <w:lang w:val="en-US" w:eastAsia="zh-CN" w:bidi="ar-SA"/>
              </w:rPr>
            </w:pPr>
            <w:r>
              <w:rPr>
                <w:rFonts w:hint="eastAsia" w:ascii="宋体" w:hAnsi="宋体" w:eastAsia="宋体"/>
                <w:kern w:val="0"/>
                <w:szCs w:val="21"/>
                <w:lang w:val="en-US" w:eastAsia="zh-CN"/>
              </w:rPr>
              <w:t>20</w:t>
            </w:r>
          </w:p>
        </w:tc>
        <w:tc>
          <w:tcPr>
            <w:tcW w:w="1134" w:type="dxa"/>
            <w:vAlign w:val="center"/>
          </w:tcPr>
          <w:p>
            <w:pPr>
              <w:spacing w:before="156" w:beforeLines="50" w:after="156" w:afterLines="50"/>
              <w:jc w:val="center"/>
              <w:rPr>
                <w:rFonts w:hint="eastAsia" w:ascii="宋体" w:hAnsi="宋体" w:eastAsia="宋体" w:cstheme="minorBidi"/>
                <w:kern w:val="0"/>
                <w:sz w:val="21"/>
                <w:szCs w:val="21"/>
                <w:lang w:val="en-US" w:eastAsia="zh-CN" w:bidi="ar-SA"/>
              </w:rPr>
            </w:pPr>
            <w:r>
              <w:rPr>
                <w:rFonts w:hint="eastAsia" w:ascii="宋体" w:hAnsi="宋体" w:eastAsia="宋体"/>
                <w:kern w:val="0"/>
                <w:szCs w:val="21"/>
                <w:lang w:val="en-US" w:eastAsia="zh-CN"/>
              </w:rPr>
              <w:t>60</w:t>
            </w:r>
          </w:p>
        </w:tc>
        <w:tc>
          <w:tcPr>
            <w:tcW w:w="2627" w:type="dxa"/>
            <w:vMerge w:val="continue"/>
            <w:tcBorders/>
            <w:shd w:val="clear" w:color="auto" w:fill="auto"/>
            <w:vAlign w:val="center"/>
          </w:tcPr>
          <w:p>
            <w:pPr>
              <w:spacing w:before="156" w:beforeLines="50" w:after="156" w:afterLines="50"/>
              <w:rPr>
                <w:rFonts w:ascii="宋体" w:hAnsi="宋体" w:eastAsia="宋体"/>
                <w:kern w:val="0"/>
                <w:szCs w:val="21"/>
              </w:rPr>
            </w:pPr>
          </w:p>
        </w:tc>
      </w:tr>
    </w:tbl>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（三）评分标准 </w:t>
      </w:r>
    </w:p>
    <w:tbl>
      <w:tblPr>
        <w:tblStyle w:val="6"/>
        <w:tblW w:w="10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984"/>
        <w:gridCol w:w="1984"/>
        <w:gridCol w:w="1843"/>
        <w:gridCol w:w="1779"/>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3" w:type="dxa"/>
            <w:vMerge w:val="restart"/>
            <w:tcBorders>
              <w:top w:val="single" w:color="auto" w:sz="4" w:space="0"/>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课程</w:t>
            </w:r>
          </w:p>
          <w:p>
            <w:pPr>
              <w:widowControl/>
              <w:spacing w:before="156" w:beforeLines="50" w:after="156" w:afterLines="50"/>
              <w:jc w:val="center"/>
              <w:rPr>
                <w:rFonts w:ascii="宋体" w:hAnsi="宋体" w:eastAsia="宋体"/>
                <w:b/>
                <w:bCs/>
                <w:szCs w:val="21"/>
              </w:rPr>
            </w:pPr>
            <w:r>
              <w:rPr>
                <w:rFonts w:ascii="宋体" w:hAnsi="宋体" w:eastAsia="宋体"/>
                <w:b/>
                <w:bCs/>
                <w:szCs w:val="21"/>
              </w:rPr>
              <w:t>目标</w:t>
            </w:r>
          </w:p>
        </w:tc>
        <w:tc>
          <w:tcPr>
            <w:tcW w:w="9369" w:type="dxa"/>
            <w:gridSpan w:val="5"/>
            <w:tcBorders>
              <w:top w:val="single" w:color="auto" w:sz="4" w:space="0"/>
              <w:left w:val="single" w:color="auto" w:sz="4" w:space="0"/>
              <w:right w:val="single" w:color="auto" w:sz="4" w:space="0"/>
            </w:tcBorders>
          </w:tcPr>
          <w:p>
            <w:pPr>
              <w:widowControl/>
              <w:spacing w:before="156" w:beforeLines="50" w:after="156" w:afterLines="50"/>
              <w:jc w:val="center"/>
              <w:rPr>
                <w:rFonts w:ascii="宋体" w:hAnsi="宋体" w:eastAsia="宋体"/>
                <w:b/>
                <w:bCs/>
                <w:szCs w:val="21"/>
              </w:rPr>
            </w:pPr>
            <w:r>
              <w:rPr>
                <w:rFonts w:ascii="宋体" w:hAnsi="宋体" w:eastAsia="宋体"/>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90-100</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80-89</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70-79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60-69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＜6</w:t>
            </w:r>
            <w:r>
              <w:rPr>
                <w:rFonts w:ascii="宋体" w:hAnsi="宋体" w:eastAsia="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优</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良</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中</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合格</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blHeader/>
          <w:jc w:val="center"/>
        </w:trPr>
        <w:tc>
          <w:tcPr>
            <w:tcW w:w="993" w:type="dxa"/>
            <w:vMerge w:val="continue"/>
            <w:tcBorders>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A</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B</w:t>
            </w:r>
          </w:p>
        </w:tc>
        <w:tc>
          <w:tcPr>
            <w:tcW w:w="184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C</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D</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目标1</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宋体" w:hAnsi="宋体" w:eastAsia="宋体"/>
                <w:szCs w:val="21"/>
                <w:lang w:val="en-US" w:eastAsia="zh-CN"/>
              </w:rPr>
            </w:pPr>
            <w:r>
              <w:rPr>
                <w:rFonts w:hint="eastAsia" w:ascii="宋体" w:hAnsi="宋体" w:eastAsia="宋体"/>
                <w:szCs w:val="21"/>
                <w:lang w:eastAsia="zh-CN"/>
              </w:rPr>
              <w:t>非常全面、准确地掌握</w:t>
            </w:r>
            <w:r>
              <w:rPr>
                <w:rFonts w:hint="eastAsia" w:ascii="宋体" w:hAnsi="宋体" w:eastAsia="宋体"/>
                <w:szCs w:val="21"/>
                <w:lang w:val="en-US" w:eastAsia="zh-CN"/>
              </w:rPr>
              <w:t>非货币性资产交换、债务重组和租赁的会计处理</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eastAsia" w:ascii="宋体" w:hAnsi="宋体" w:eastAsia="宋体"/>
                <w:szCs w:val="21"/>
                <w:lang w:eastAsia="zh-CN"/>
              </w:rPr>
            </w:pPr>
            <w:r>
              <w:rPr>
                <w:rFonts w:hint="eastAsia" w:ascii="宋体" w:hAnsi="宋体" w:eastAsia="宋体"/>
                <w:szCs w:val="21"/>
                <w:lang w:eastAsia="zh-CN"/>
              </w:rPr>
              <w:t>比较全面、准确地掌握</w:t>
            </w:r>
            <w:r>
              <w:rPr>
                <w:rFonts w:hint="eastAsia" w:ascii="宋体" w:hAnsi="宋体" w:eastAsia="宋体"/>
                <w:szCs w:val="21"/>
                <w:lang w:val="en-US" w:eastAsia="zh-CN"/>
              </w:rPr>
              <w:t>非货币性资产交换、债务重组和租赁的会计处理</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lang w:eastAsia="zh-CN"/>
              </w:rPr>
              <w:t>对</w:t>
            </w:r>
            <w:r>
              <w:rPr>
                <w:rFonts w:hint="eastAsia" w:ascii="宋体" w:hAnsi="宋体" w:eastAsia="宋体"/>
                <w:szCs w:val="21"/>
                <w:lang w:val="en-US" w:eastAsia="zh-CN"/>
              </w:rPr>
              <w:t>非货币性资产交换、债务重组和租赁的会计处理</w:t>
            </w:r>
            <w:r>
              <w:rPr>
                <w:rFonts w:hint="eastAsia" w:ascii="宋体" w:hAnsi="宋体" w:eastAsia="宋体"/>
                <w:szCs w:val="21"/>
                <w:lang w:eastAsia="zh-CN"/>
              </w:rPr>
              <w:t>较为准确，但不够全面</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lang w:eastAsia="zh-CN"/>
              </w:rPr>
              <w:t>基本正确地掌握</w:t>
            </w:r>
            <w:r>
              <w:rPr>
                <w:rFonts w:hint="eastAsia" w:ascii="宋体" w:hAnsi="宋体" w:eastAsia="宋体"/>
                <w:szCs w:val="21"/>
                <w:lang w:val="en-US" w:eastAsia="zh-CN"/>
              </w:rPr>
              <w:t>非货币性资产交换、债务重组和租赁的会计处理</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eastAsia" w:ascii="宋体" w:hAnsi="宋体" w:eastAsia="宋体"/>
                <w:szCs w:val="21"/>
                <w:lang w:eastAsia="zh-CN"/>
              </w:rPr>
            </w:pPr>
            <w:r>
              <w:rPr>
                <w:rFonts w:hint="eastAsia" w:ascii="宋体" w:hAnsi="宋体" w:eastAsia="宋体"/>
                <w:szCs w:val="21"/>
                <w:lang w:eastAsia="zh-CN"/>
              </w:rPr>
              <w:t>不能正确掌握</w:t>
            </w:r>
            <w:r>
              <w:rPr>
                <w:rFonts w:hint="eastAsia" w:ascii="宋体" w:hAnsi="宋体" w:eastAsia="宋体"/>
                <w:szCs w:val="21"/>
                <w:lang w:val="en-US" w:eastAsia="zh-CN"/>
              </w:rPr>
              <w:t>非货币性资产交换、债务重组和租赁的会计处理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目标2</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eastAsia" w:ascii="宋体" w:hAnsi="宋体" w:eastAsia="宋体"/>
                <w:szCs w:val="21"/>
                <w:lang w:eastAsia="zh-CN"/>
              </w:rPr>
            </w:pPr>
            <w:r>
              <w:rPr>
                <w:rFonts w:hint="eastAsia" w:ascii="宋体" w:hAnsi="宋体" w:eastAsia="宋体"/>
                <w:szCs w:val="21"/>
                <w:lang w:eastAsia="zh-CN"/>
              </w:rPr>
              <w:t>非常准确、深入地理解</w:t>
            </w:r>
            <w:r>
              <w:rPr>
                <w:rFonts w:hint="eastAsia" w:ascii="宋体" w:hAnsi="宋体" w:eastAsia="宋体" w:cs="宋体"/>
                <w:b w:val="0"/>
                <w:bCs/>
                <w:kern w:val="2"/>
                <w:sz w:val="21"/>
                <w:szCs w:val="20"/>
                <w:lang w:val="en-US" w:eastAsia="zh-CN" w:bidi="ar-SA"/>
              </w:rPr>
              <w:t>股权激励的会计处理</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lang w:eastAsia="zh-CN"/>
              </w:rPr>
              <w:t>比较准确、深入地理解</w:t>
            </w:r>
            <w:r>
              <w:rPr>
                <w:rFonts w:hint="eastAsia" w:ascii="宋体" w:hAnsi="宋体" w:eastAsia="宋体" w:cs="宋体"/>
                <w:b w:val="0"/>
                <w:bCs/>
                <w:kern w:val="2"/>
                <w:sz w:val="21"/>
                <w:szCs w:val="20"/>
                <w:lang w:val="en-US" w:eastAsia="zh-CN" w:bidi="ar-SA"/>
              </w:rPr>
              <w:t>股权激励的会计处理</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eastAsia" w:ascii="宋体" w:hAnsi="宋体" w:eastAsia="宋体"/>
                <w:szCs w:val="21"/>
                <w:lang w:eastAsia="zh-CN"/>
              </w:rPr>
            </w:pPr>
            <w:r>
              <w:rPr>
                <w:rFonts w:hint="eastAsia" w:ascii="宋体" w:hAnsi="宋体" w:eastAsia="宋体" w:cs="宋体"/>
                <w:b w:val="0"/>
                <w:bCs/>
                <w:kern w:val="2"/>
                <w:sz w:val="21"/>
                <w:szCs w:val="20"/>
                <w:lang w:val="en-US" w:eastAsia="zh-CN" w:bidi="ar-SA"/>
              </w:rPr>
              <w:t>对股权激励的会计处理理解较为准确，但不够深入</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eastAsia" w:ascii="宋体" w:hAnsi="宋体" w:eastAsia="宋体"/>
                <w:szCs w:val="21"/>
                <w:lang w:eastAsia="zh-CN"/>
              </w:rPr>
            </w:pPr>
            <w:r>
              <w:rPr>
                <w:rFonts w:hint="eastAsia" w:ascii="宋体" w:hAnsi="宋体" w:eastAsia="宋体"/>
                <w:szCs w:val="21"/>
                <w:lang w:eastAsia="zh-CN"/>
              </w:rPr>
              <w:t>基本正确地理解</w:t>
            </w:r>
            <w:r>
              <w:rPr>
                <w:rFonts w:hint="eastAsia" w:ascii="宋体" w:hAnsi="宋体" w:eastAsia="宋体" w:cs="宋体"/>
                <w:b w:val="0"/>
                <w:bCs/>
                <w:kern w:val="2"/>
                <w:sz w:val="21"/>
                <w:szCs w:val="20"/>
                <w:lang w:val="en-US" w:eastAsia="zh-CN" w:bidi="ar-SA"/>
              </w:rPr>
              <w:t>股权激励的会计处理</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eastAsia" w:ascii="宋体" w:hAnsi="宋体" w:eastAsia="宋体"/>
                <w:szCs w:val="21"/>
                <w:lang w:eastAsia="zh-CN"/>
              </w:rPr>
            </w:pPr>
            <w:r>
              <w:rPr>
                <w:rFonts w:hint="eastAsia" w:ascii="宋体" w:hAnsi="宋体" w:eastAsia="宋体"/>
                <w:szCs w:val="21"/>
                <w:lang w:eastAsia="zh-CN"/>
              </w:rPr>
              <w:t>不能正确理解</w:t>
            </w:r>
            <w:r>
              <w:rPr>
                <w:rFonts w:hint="eastAsia" w:ascii="宋体" w:hAnsi="宋体" w:eastAsia="宋体" w:cs="宋体"/>
                <w:b w:val="0"/>
                <w:bCs/>
                <w:kern w:val="2"/>
                <w:sz w:val="21"/>
                <w:szCs w:val="20"/>
                <w:lang w:val="en-US" w:eastAsia="zh-CN" w:bidi="ar-SA"/>
              </w:rPr>
              <w:t>股权激励的会计处理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目标3</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lang w:eastAsia="zh-CN"/>
              </w:rPr>
              <w:t>非常全面、准确地掌握</w:t>
            </w:r>
            <w:r>
              <w:rPr>
                <w:rFonts w:hint="eastAsia" w:ascii="宋体" w:hAnsi="宋体" w:eastAsia="宋体"/>
                <w:szCs w:val="21"/>
                <w:lang w:val="en-US" w:eastAsia="zh-CN"/>
              </w:rPr>
              <w:t>资产负债表债务法的应用</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eastAsia" w:ascii="宋体" w:hAnsi="宋体" w:eastAsia="宋体"/>
                <w:szCs w:val="21"/>
                <w:lang w:eastAsia="zh-CN"/>
              </w:rPr>
            </w:pPr>
            <w:r>
              <w:rPr>
                <w:rFonts w:hint="eastAsia" w:ascii="宋体" w:hAnsi="宋体" w:eastAsia="宋体"/>
                <w:szCs w:val="21"/>
                <w:lang w:eastAsia="zh-CN"/>
              </w:rPr>
              <w:t>比较全面、准确地掌握</w:t>
            </w:r>
            <w:r>
              <w:rPr>
                <w:rFonts w:hint="eastAsia" w:ascii="宋体" w:hAnsi="宋体" w:eastAsia="宋体"/>
                <w:szCs w:val="21"/>
                <w:lang w:val="en-US" w:eastAsia="zh-CN"/>
              </w:rPr>
              <w:t>资产负债表债务法的应用</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lang w:eastAsia="zh-CN"/>
              </w:rPr>
              <w:t>对</w:t>
            </w:r>
            <w:r>
              <w:rPr>
                <w:rFonts w:hint="eastAsia" w:ascii="宋体" w:hAnsi="宋体" w:eastAsia="宋体"/>
                <w:szCs w:val="21"/>
                <w:lang w:val="en-US" w:eastAsia="zh-CN"/>
              </w:rPr>
              <w:t>资产负债表债务法应用</w:t>
            </w:r>
            <w:r>
              <w:rPr>
                <w:rFonts w:hint="eastAsia" w:ascii="宋体" w:hAnsi="宋体" w:eastAsia="宋体"/>
                <w:szCs w:val="21"/>
                <w:lang w:eastAsia="zh-CN"/>
              </w:rPr>
              <w:t>的掌握较为准确，但不够全面</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eastAsia" w:ascii="宋体" w:hAnsi="宋体" w:eastAsia="宋体"/>
                <w:szCs w:val="21"/>
                <w:lang w:eastAsia="zh-CN"/>
              </w:rPr>
            </w:pPr>
            <w:r>
              <w:rPr>
                <w:rFonts w:hint="eastAsia" w:ascii="宋体" w:hAnsi="宋体" w:eastAsia="宋体"/>
                <w:szCs w:val="21"/>
                <w:lang w:eastAsia="zh-CN"/>
              </w:rPr>
              <w:t>基本正确地掌握</w:t>
            </w:r>
            <w:r>
              <w:rPr>
                <w:rFonts w:hint="eastAsia" w:ascii="宋体" w:hAnsi="宋体" w:eastAsia="宋体"/>
                <w:szCs w:val="21"/>
                <w:lang w:val="en-US" w:eastAsia="zh-CN"/>
              </w:rPr>
              <w:t>资产负债表债务法的应用</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lang w:eastAsia="zh-CN"/>
              </w:rPr>
              <w:t>不能正确掌握</w:t>
            </w:r>
            <w:r>
              <w:rPr>
                <w:rFonts w:hint="eastAsia" w:ascii="宋体" w:hAnsi="宋体" w:eastAsia="宋体"/>
                <w:szCs w:val="21"/>
                <w:lang w:val="en-US" w:eastAsia="zh-CN"/>
              </w:rPr>
              <w:t>资产负债表债务法的应用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hint="eastAsia" w:ascii="宋体" w:hAnsi="宋体" w:eastAsia="宋体"/>
                <w:b/>
                <w:bCs/>
                <w:kern w:val="0"/>
                <w:szCs w:val="21"/>
                <w:lang w:eastAsia="zh-CN"/>
              </w:rPr>
            </w:pPr>
            <w:r>
              <w:rPr>
                <w:rFonts w:ascii="宋体" w:hAnsi="宋体" w:eastAsia="宋体"/>
                <w:b/>
                <w:bCs/>
                <w:kern w:val="0"/>
                <w:szCs w:val="21"/>
              </w:rPr>
              <w:t>目标</w:t>
            </w:r>
            <w:r>
              <w:rPr>
                <w:rFonts w:hint="eastAsia" w:ascii="宋体" w:hAnsi="宋体" w:eastAsia="宋体"/>
                <w:b/>
                <w:bCs/>
                <w:kern w:val="0"/>
                <w:szCs w:val="21"/>
                <w:lang w:val="en-US" w:eastAsia="zh-CN"/>
              </w:rPr>
              <w:t>4</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eastAsia" w:ascii="宋体" w:hAnsi="宋体" w:eastAsia="宋体"/>
                <w:szCs w:val="21"/>
                <w:lang w:eastAsia="zh-CN"/>
              </w:rPr>
            </w:pPr>
            <w:r>
              <w:rPr>
                <w:rFonts w:hint="eastAsia" w:ascii="宋体" w:hAnsi="宋体" w:eastAsia="宋体"/>
                <w:szCs w:val="21"/>
                <w:lang w:eastAsia="zh-CN"/>
              </w:rPr>
              <w:t>非常全面、准确地掌握</w:t>
            </w:r>
            <w:r>
              <w:rPr>
                <w:rFonts w:hint="eastAsia" w:ascii="宋体" w:hAnsi="宋体" w:eastAsia="宋体"/>
                <w:szCs w:val="21"/>
                <w:lang w:val="en-US" w:eastAsia="zh-CN"/>
              </w:rPr>
              <w:t>合并财务报表的日常会计处理</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eastAsia" w:ascii="宋体" w:hAnsi="宋体" w:eastAsia="宋体"/>
                <w:szCs w:val="21"/>
                <w:lang w:eastAsia="zh-CN"/>
              </w:rPr>
            </w:pPr>
            <w:r>
              <w:rPr>
                <w:rFonts w:hint="eastAsia" w:ascii="宋体" w:hAnsi="宋体" w:eastAsia="宋体"/>
                <w:szCs w:val="21"/>
                <w:lang w:eastAsia="zh-CN"/>
              </w:rPr>
              <w:t>比较全面、准确地掌握</w:t>
            </w:r>
            <w:r>
              <w:rPr>
                <w:rFonts w:hint="eastAsia" w:ascii="宋体" w:hAnsi="宋体" w:eastAsia="宋体"/>
                <w:szCs w:val="21"/>
                <w:lang w:val="en-US" w:eastAsia="zh-CN"/>
              </w:rPr>
              <w:t>合并财务报表的日常会计处理</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eastAsia" w:ascii="宋体" w:hAnsi="宋体" w:eastAsia="宋体"/>
                <w:szCs w:val="21"/>
                <w:lang w:eastAsia="zh-CN"/>
              </w:rPr>
            </w:pPr>
            <w:r>
              <w:rPr>
                <w:rFonts w:hint="eastAsia" w:ascii="宋体" w:hAnsi="宋体" w:eastAsia="宋体"/>
                <w:szCs w:val="21"/>
                <w:lang w:eastAsia="zh-CN"/>
              </w:rPr>
              <w:t>对</w:t>
            </w:r>
            <w:r>
              <w:rPr>
                <w:rFonts w:hint="eastAsia" w:ascii="宋体" w:hAnsi="宋体" w:eastAsia="宋体"/>
                <w:szCs w:val="21"/>
                <w:lang w:val="en-US" w:eastAsia="zh-CN"/>
              </w:rPr>
              <w:t>合并财务报表的日常会计处理</w:t>
            </w:r>
            <w:r>
              <w:rPr>
                <w:rFonts w:hint="eastAsia" w:ascii="宋体" w:hAnsi="宋体" w:eastAsia="宋体"/>
                <w:szCs w:val="21"/>
                <w:lang w:eastAsia="zh-CN"/>
              </w:rPr>
              <w:t>较为准确，但不够全面</w:t>
            </w:r>
          </w:p>
        </w:tc>
        <w:tc>
          <w:tcPr>
            <w:tcW w:w="1779"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hint="eastAsia" w:ascii="宋体" w:hAnsi="宋体" w:eastAsia="宋体" w:cstheme="minorBidi"/>
                <w:kern w:val="2"/>
                <w:sz w:val="21"/>
                <w:szCs w:val="21"/>
                <w:lang w:val="en-US" w:eastAsia="zh-CN" w:bidi="ar-SA"/>
              </w:rPr>
            </w:pPr>
            <w:r>
              <w:rPr>
                <w:rFonts w:hint="eastAsia" w:ascii="宋体" w:hAnsi="宋体" w:eastAsia="宋体"/>
                <w:szCs w:val="21"/>
                <w:lang w:eastAsia="zh-CN"/>
              </w:rPr>
              <w:t>基本正确地掌握</w:t>
            </w:r>
            <w:r>
              <w:rPr>
                <w:rFonts w:hint="eastAsia" w:ascii="宋体" w:hAnsi="宋体" w:eastAsia="宋体"/>
                <w:szCs w:val="21"/>
                <w:lang w:val="en-US" w:eastAsia="zh-CN"/>
              </w:rPr>
              <w:t>合并财务报表的日常会计处理</w:t>
            </w:r>
          </w:p>
        </w:tc>
        <w:tc>
          <w:tcPr>
            <w:tcW w:w="1779"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hint="eastAsia" w:ascii="宋体" w:hAnsi="宋体" w:eastAsia="宋体" w:cstheme="minorBidi"/>
                <w:kern w:val="2"/>
                <w:sz w:val="21"/>
                <w:szCs w:val="21"/>
                <w:lang w:val="en-US" w:eastAsia="zh-CN" w:bidi="ar-SA"/>
              </w:rPr>
            </w:pPr>
            <w:r>
              <w:rPr>
                <w:rFonts w:hint="eastAsia" w:ascii="宋体" w:hAnsi="宋体" w:eastAsia="宋体"/>
                <w:szCs w:val="21"/>
                <w:lang w:eastAsia="zh-CN"/>
              </w:rPr>
              <w:t>不能正确掌握</w:t>
            </w:r>
            <w:r>
              <w:rPr>
                <w:rFonts w:hint="eastAsia" w:ascii="宋体" w:hAnsi="宋体" w:eastAsia="宋体"/>
                <w:szCs w:val="21"/>
                <w:lang w:val="en-US" w:eastAsia="zh-CN"/>
              </w:rPr>
              <w:t>合并财务报表的日常会计处理</w:t>
            </w:r>
          </w:p>
        </w:tc>
      </w:tr>
    </w:tbl>
    <w:p>
      <w:pPr>
        <w:widowControl/>
        <w:jc w:val="left"/>
        <w:rPr>
          <w:rFonts w:ascii="宋体" w:hAnsi="宋体"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sNewRomanPSMT">
    <w:altName w:val="Times New Roman"/>
    <w:panose1 w:val="02020703060505090304"/>
    <w:charset w:val="00"/>
    <w:family w:val="roman"/>
    <w:pitch w:val="default"/>
    <w:sig w:usb0="00000000" w:usb1="00000000" w:usb2="00000001" w:usb3="00000000" w:csb0="400001BF" w:csb1="DFF7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99470A"/>
    <w:multiLevelType w:val="singleLevel"/>
    <w:tmpl w:val="6499470A"/>
    <w:lvl w:ilvl="0" w:tentative="0">
      <w:start w:val="2"/>
      <w:numFmt w:val="chineseCounting"/>
      <w:suff w:val="nothing"/>
      <w:lvlText w:val="（%1）"/>
      <w:lvlJc w:val="left"/>
    </w:lvl>
  </w:abstractNum>
  <w:abstractNum w:abstractNumId="1">
    <w:nsid w:val="64994788"/>
    <w:multiLevelType w:val="singleLevel"/>
    <w:tmpl w:val="64994788"/>
    <w:lvl w:ilvl="0" w:tentative="0">
      <w:start w:val="3"/>
      <w:numFmt w:val="chineseCounting"/>
      <w:suff w:val="nothing"/>
      <w:lvlText w:val="%1、"/>
      <w:lvlJc w:val="left"/>
    </w:lvl>
  </w:abstractNum>
  <w:abstractNum w:abstractNumId="2">
    <w:nsid w:val="649947F8"/>
    <w:multiLevelType w:val="singleLevel"/>
    <w:tmpl w:val="649947F8"/>
    <w:lvl w:ilvl="0" w:tentative="0">
      <w:start w:val="5"/>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2MjM1YmRhMDJiYzBkMTY1MTUwOWQ2Njk5YTI4MjAifQ=="/>
  </w:docVars>
  <w:rsids>
    <w:rsidRoot w:val="001E5724"/>
    <w:rsid w:val="00022CBB"/>
    <w:rsid w:val="00077A5F"/>
    <w:rsid w:val="000F054A"/>
    <w:rsid w:val="001E5724"/>
    <w:rsid w:val="00242673"/>
    <w:rsid w:val="00285327"/>
    <w:rsid w:val="002A7568"/>
    <w:rsid w:val="00313A87"/>
    <w:rsid w:val="00322986"/>
    <w:rsid w:val="0034254B"/>
    <w:rsid w:val="0038665C"/>
    <w:rsid w:val="004070CF"/>
    <w:rsid w:val="005A0378"/>
    <w:rsid w:val="00665621"/>
    <w:rsid w:val="006E4F82"/>
    <w:rsid w:val="006F64C9"/>
    <w:rsid w:val="007639A2"/>
    <w:rsid w:val="007C379D"/>
    <w:rsid w:val="007C62ED"/>
    <w:rsid w:val="007E39E3"/>
    <w:rsid w:val="008128AD"/>
    <w:rsid w:val="008560E2"/>
    <w:rsid w:val="00886EBF"/>
    <w:rsid w:val="00A03BBD"/>
    <w:rsid w:val="00A61EFD"/>
    <w:rsid w:val="00AA4570"/>
    <w:rsid w:val="00AA630A"/>
    <w:rsid w:val="00AE3D1A"/>
    <w:rsid w:val="00B03909"/>
    <w:rsid w:val="00B40ECD"/>
    <w:rsid w:val="00BA23F0"/>
    <w:rsid w:val="00C00798"/>
    <w:rsid w:val="00C54636"/>
    <w:rsid w:val="00CA53B2"/>
    <w:rsid w:val="00D02F99"/>
    <w:rsid w:val="00D13271"/>
    <w:rsid w:val="00D14471"/>
    <w:rsid w:val="00D417A1"/>
    <w:rsid w:val="00D504B7"/>
    <w:rsid w:val="00D715F7"/>
    <w:rsid w:val="00DD7B5F"/>
    <w:rsid w:val="00DE7849"/>
    <w:rsid w:val="00E05E8B"/>
    <w:rsid w:val="00E366AB"/>
    <w:rsid w:val="00E76E34"/>
    <w:rsid w:val="00ED7F81"/>
    <w:rsid w:val="00F56396"/>
    <w:rsid w:val="00FB77A1"/>
    <w:rsid w:val="00FC24B5"/>
    <w:rsid w:val="020B7729"/>
    <w:rsid w:val="032D64CB"/>
    <w:rsid w:val="034877EC"/>
    <w:rsid w:val="03B279E6"/>
    <w:rsid w:val="062E067F"/>
    <w:rsid w:val="08CE609D"/>
    <w:rsid w:val="08E94BE9"/>
    <w:rsid w:val="0D9F40C5"/>
    <w:rsid w:val="12810624"/>
    <w:rsid w:val="12F86B39"/>
    <w:rsid w:val="16D927DD"/>
    <w:rsid w:val="18307719"/>
    <w:rsid w:val="1DAC0C4B"/>
    <w:rsid w:val="1E7D7EF2"/>
    <w:rsid w:val="1EE937D9"/>
    <w:rsid w:val="1F342C07"/>
    <w:rsid w:val="1F5901EA"/>
    <w:rsid w:val="24DE0BEE"/>
    <w:rsid w:val="28B66BE5"/>
    <w:rsid w:val="2B006133"/>
    <w:rsid w:val="2B46437D"/>
    <w:rsid w:val="2B852ADC"/>
    <w:rsid w:val="2C385803"/>
    <w:rsid w:val="2C5A7AC4"/>
    <w:rsid w:val="2DCC49F2"/>
    <w:rsid w:val="2F4F5F32"/>
    <w:rsid w:val="2FA10B21"/>
    <w:rsid w:val="3291620A"/>
    <w:rsid w:val="34C108AA"/>
    <w:rsid w:val="37FD31FE"/>
    <w:rsid w:val="381A77F4"/>
    <w:rsid w:val="3A766D27"/>
    <w:rsid w:val="3B0C78FB"/>
    <w:rsid w:val="3C5E715D"/>
    <w:rsid w:val="3C7F45CB"/>
    <w:rsid w:val="3D785251"/>
    <w:rsid w:val="420F6274"/>
    <w:rsid w:val="469A6FE4"/>
    <w:rsid w:val="48E16193"/>
    <w:rsid w:val="48EC789E"/>
    <w:rsid w:val="48EF4486"/>
    <w:rsid w:val="49641B2B"/>
    <w:rsid w:val="49896475"/>
    <w:rsid w:val="4A655B5A"/>
    <w:rsid w:val="4C7363EE"/>
    <w:rsid w:val="4CF50B53"/>
    <w:rsid w:val="5065500F"/>
    <w:rsid w:val="51D7550F"/>
    <w:rsid w:val="54F53A7A"/>
    <w:rsid w:val="554C0043"/>
    <w:rsid w:val="55FA250B"/>
    <w:rsid w:val="56D73167"/>
    <w:rsid w:val="580736EB"/>
    <w:rsid w:val="59433257"/>
    <w:rsid w:val="5F0121FE"/>
    <w:rsid w:val="5F9C5723"/>
    <w:rsid w:val="6051257B"/>
    <w:rsid w:val="650F65D3"/>
    <w:rsid w:val="652F7039"/>
    <w:rsid w:val="66A12E8D"/>
    <w:rsid w:val="67580AC9"/>
    <w:rsid w:val="6D38040D"/>
    <w:rsid w:val="6D903118"/>
    <w:rsid w:val="709A2664"/>
    <w:rsid w:val="725105EF"/>
    <w:rsid w:val="73C03C7E"/>
    <w:rsid w:val="743B0CB9"/>
    <w:rsid w:val="77D01FB6"/>
    <w:rsid w:val="79A53194"/>
    <w:rsid w:val="7CC0272A"/>
    <w:rsid w:val="7D3E2CF9"/>
    <w:rsid w:val="7E185273"/>
    <w:rsid w:val="7E307AFE"/>
    <w:rsid w:val="7E617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Plain Text"/>
    <w:basedOn w:val="1"/>
    <w:link w:val="9"/>
    <w:qFormat/>
    <w:uiPriority w:val="99"/>
    <w:rPr>
      <w:rFonts w:ascii="宋体" w:hAnsi="Courier New" w:eastAsia="宋体" w:cs="Times New Roman"/>
      <w:szCs w:val="20"/>
    </w:rPr>
  </w:style>
  <w:style w:type="paragraph" w:styleId="3">
    <w:name w:val="Balloon Text"/>
    <w:basedOn w:val="1"/>
    <w:link w:val="12"/>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纯文本 字符"/>
    <w:basedOn w:val="8"/>
    <w:link w:val="2"/>
    <w:qFormat/>
    <w:uiPriority w:val="99"/>
    <w:rPr>
      <w:rFonts w:ascii="宋体" w:hAnsi="Courier New" w:eastAsia="宋体" w:cs="Times New Roman"/>
      <w:szCs w:val="20"/>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框文本 字符"/>
    <w:basedOn w:val="8"/>
    <w:link w:val="3"/>
    <w:semiHidden/>
    <w:qFormat/>
    <w:uiPriority w:val="99"/>
    <w:rPr>
      <w:sz w:val="18"/>
      <w:szCs w:val="18"/>
    </w:rPr>
  </w:style>
  <w:style w:type="paragraph" w:customStyle="1" w:styleId="13">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5</Pages>
  <Words>274</Words>
  <Characters>1568</Characters>
  <Lines>13</Lines>
  <Paragraphs>3</Paragraphs>
  <TotalTime>1</TotalTime>
  <ScaleCrop>false</ScaleCrop>
  <LinksUpToDate>false</LinksUpToDate>
  <CharactersWithSpaces>1839</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2020-12-08T16:33:00Z</dcterms:created>
  <dc:creator>Windows User</dc:creator>
  <cp:lastModifiedBy>明天会更好</cp:lastModifiedBy>
  <cp:lastPrinted>2020-12-24T15:17:00Z</cp:lastPrinted>
  <dcterms:modified xsi:type="dcterms:W3CDTF">2023-09-04T02:33:09Z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762F746F3AC24D17ABF1B416707C96A9_12</vt:lpwstr>
  </property>
</Properties>
</file>