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0A" w:rsidRDefault="0096218C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CC0D70">
        <w:rPr>
          <w:rFonts w:ascii="黑体" w:eastAsia="黑体" w:hAnsi="黑体" w:hint="eastAsia"/>
          <w:sz w:val="32"/>
          <w:szCs w:val="32"/>
        </w:rPr>
        <w:t>电子商务法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:rsidR="00061B0A" w:rsidRDefault="0096218C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061B0A">
        <w:trPr>
          <w:jc w:val="center"/>
        </w:trPr>
        <w:tc>
          <w:tcPr>
            <w:tcW w:w="1135" w:type="dxa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061B0A" w:rsidRDefault="00CC0D70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 w:rsidRPr="00CC0D70">
              <w:rPr>
                <w:rFonts w:ascii="宋体" w:eastAsia="宋体" w:hAnsi="宋体" w:cs="宋体"/>
                <w:szCs w:val="21"/>
              </w:rPr>
              <w:t>E-commerce Law</w:t>
            </w:r>
          </w:p>
        </w:tc>
        <w:tc>
          <w:tcPr>
            <w:tcW w:w="1134" w:type="dxa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061B0A" w:rsidRDefault="00061B0A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</w:p>
        </w:tc>
      </w:tr>
      <w:tr w:rsidR="00061B0A">
        <w:trPr>
          <w:jc w:val="center"/>
        </w:trPr>
        <w:tc>
          <w:tcPr>
            <w:tcW w:w="1135" w:type="dxa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061B0A" w:rsidRDefault="0096218C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  <w:r w:rsidR="00CC0D70">
              <w:rPr>
                <w:rFonts w:ascii="宋体" w:eastAsia="宋体" w:hAnsi="宋体" w:cs="宋体" w:hint="eastAsia"/>
                <w:szCs w:val="21"/>
              </w:rPr>
              <w:t>选</w:t>
            </w:r>
            <w:r>
              <w:rPr>
                <w:rFonts w:ascii="宋体" w:eastAsia="宋体" w:hAnsi="宋体" w:cs="宋体" w:hint="eastAsia"/>
                <w:szCs w:val="21"/>
              </w:rPr>
              <w:t>修课程</w:t>
            </w:r>
          </w:p>
        </w:tc>
        <w:tc>
          <w:tcPr>
            <w:tcW w:w="1134" w:type="dxa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061B0A" w:rsidRDefault="00FB2322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电子商务</w:t>
            </w:r>
            <w:r w:rsidR="0096218C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</w:tr>
      <w:tr w:rsidR="00061B0A">
        <w:trPr>
          <w:jc w:val="center"/>
        </w:trPr>
        <w:tc>
          <w:tcPr>
            <w:tcW w:w="1135" w:type="dxa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061B0A" w:rsidRDefault="00FB2322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  <w:r w:rsidR="00301128">
              <w:rPr>
                <w:rFonts w:ascii="宋体" w:eastAsia="宋体" w:hAnsi="宋体" w:cs="宋体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   时</w:t>
            </w:r>
          </w:p>
        </w:tc>
        <w:tc>
          <w:tcPr>
            <w:tcW w:w="2744" w:type="dxa"/>
            <w:vAlign w:val="center"/>
          </w:tcPr>
          <w:p w:rsidR="00061B0A" w:rsidRDefault="00FB2322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36</w:t>
            </w:r>
          </w:p>
        </w:tc>
      </w:tr>
      <w:tr w:rsidR="00061B0A">
        <w:trPr>
          <w:jc w:val="center"/>
        </w:trPr>
        <w:tc>
          <w:tcPr>
            <w:tcW w:w="1135" w:type="dxa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061B0A" w:rsidRDefault="00FB2322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黄宇欣</w:t>
            </w:r>
          </w:p>
        </w:tc>
        <w:tc>
          <w:tcPr>
            <w:tcW w:w="1134" w:type="dxa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061B0A" w:rsidRDefault="0096218C" w:rsidP="00FB2322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</w:t>
            </w:r>
            <w:r w:rsidR="00FB2322">
              <w:rPr>
                <w:rFonts w:ascii="宋体" w:eastAsia="宋体" w:hAnsi="宋体" w:cs="宋体"/>
                <w:szCs w:val="21"/>
              </w:rPr>
              <w:t>3</w:t>
            </w:r>
            <w:r w:rsidR="00FB2322">
              <w:rPr>
                <w:rFonts w:ascii="宋体" w:eastAsia="宋体" w:hAnsi="宋体" w:cs="宋体" w:hint="eastAsia"/>
                <w:szCs w:val="21"/>
              </w:rPr>
              <w:t>.</w:t>
            </w:r>
            <w:r w:rsidR="00FB2322">
              <w:rPr>
                <w:rFonts w:ascii="宋体" w:eastAsia="宋体" w:hAnsi="宋体" w:cs="宋体"/>
                <w:szCs w:val="21"/>
              </w:rPr>
              <w:t>8</w:t>
            </w:r>
          </w:p>
        </w:tc>
      </w:tr>
      <w:tr w:rsidR="00061B0A">
        <w:trPr>
          <w:jc w:val="center"/>
        </w:trPr>
        <w:tc>
          <w:tcPr>
            <w:tcW w:w="1135" w:type="dxa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FB2322" w:rsidRPr="00FB2322" w:rsidRDefault="00FB2322" w:rsidP="00FB2322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FB2322">
              <w:rPr>
                <w:rFonts w:ascii="宋体" w:eastAsia="宋体" w:hAnsi="宋体" w:cs="宋体" w:hint="eastAsia"/>
                <w:szCs w:val="21"/>
              </w:rPr>
              <w:t>梁勇，</w:t>
            </w:r>
            <w:r w:rsidRPr="00FB2322">
              <w:rPr>
                <w:rFonts w:ascii="宋体" w:eastAsia="宋体" w:hAnsi="宋体" w:cs="宋体"/>
                <w:szCs w:val="21"/>
              </w:rPr>
              <w:t>Java语言程序设计（基础篇）（原书第10版），机械工业出版社，</w:t>
            </w:r>
          </w:p>
          <w:p w:rsidR="00061B0A" w:rsidRDefault="00FB2322" w:rsidP="00FB2322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FB2322">
              <w:rPr>
                <w:rFonts w:ascii="宋体" w:eastAsia="宋体" w:hAnsi="宋体" w:cs="宋体"/>
                <w:szCs w:val="21"/>
              </w:rPr>
              <w:t>2016年10月</w:t>
            </w:r>
          </w:p>
        </w:tc>
      </w:tr>
    </w:tbl>
    <w:p w:rsidR="00061B0A" w:rsidRDefault="0096218C">
      <w:pPr>
        <w:pStyle w:val="a3"/>
        <w:spacing w:beforeLines="50" w:before="156" w:afterLines="50" w:after="156"/>
        <w:ind w:firstLineChars="200" w:firstLine="562"/>
        <w:rPr>
          <w:rFonts w:eastAsia="黑体"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061B0A" w:rsidRDefault="0096218C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</w:t>
      </w:r>
    </w:p>
    <w:p w:rsidR="00061B0A" w:rsidRDefault="00FB2322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FB2322">
        <w:rPr>
          <w:rFonts w:hAnsi="宋体" w:cs="宋体" w:hint="eastAsia"/>
        </w:rPr>
        <w:t>本课程是电子商务专业的选修课程之一。本课程主要包括全面、系统地介绍</w:t>
      </w:r>
      <w:r w:rsidRPr="00FB2322">
        <w:rPr>
          <w:rFonts w:hAnsi="宋体" w:cs="宋体"/>
        </w:rPr>
        <w:t xml:space="preserve"> Java 语言的基础知识、编程的基本运算结构、运行机制、以及面向对象编程。本课程突出以案例与代码示例相结合，通过课堂讲授和代码示例相结合，将使学生全面掌握Java编</w:t>
      </w:r>
      <w:r>
        <w:rPr>
          <w:rFonts w:hAnsi="宋体" w:cs="宋体"/>
        </w:rPr>
        <w:t>程基础技巧以及面向对象的程序设计结构，并运用于解决实际问题当中</w:t>
      </w:r>
      <w:r w:rsidR="0096218C">
        <w:rPr>
          <w:rFonts w:hAnsi="宋体" w:cs="宋体" w:hint="eastAsia"/>
        </w:rPr>
        <w:t>。</w:t>
      </w:r>
    </w:p>
    <w:p w:rsidR="00061B0A" w:rsidRDefault="0096218C">
      <w:pPr>
        <w:pStyle w:val="a3"/>
        <w:numPr>
          <w:ilvl w:val="0"/>
          <w:numId w:val="1"/>
        </w:numPr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课程目标：</w:t>
      </w:r>
    </w:p>
    <w:p w:rsidR="00061B0A" w:rsidRPr="00FB2322" w:rsidRDefault="00FB2322">
      <w:pPr>
        <w:pStyle w:val="a3"/>
        <w:spacing w:beforeLines="50" w:before="156" w:afterLines="50" w:after="156"/>
        <w:rPr>
          <w:rFonts w:hAnsi="宋体" w:cs="宋体"/>
        </w:rPr>
      </w:pPr>
      <w:r>
        <w:rPr>
          <w:rFonts w:hAnsi="宋体" w:cs="宋体" w:hint="eastAsia"/>
          <w:b/>
        </w:rPr>
        <w:t xml:space="preserve">    </w:t>
      </w:r>
      <w:r w:rsidR="0096218C">
        <w:rPr>
          <w:rFonts w:hAnsi="宋体" w:cs="宋体" w:hint="eastAsia"/>
          <w:b/>
        </w:rPr>
        <w:t>课程目标1：</w:t>
      </w:r>
      <w:r w:rsidRPr="00FB2322">
        <w:rPr>
          <w:rFonts w:hAnsi="宋体" w:cs="宋体" w:hint="eastAsia"/>
        </w:rPr>
        <w:t>培养学生运用</w:t>
      </w:r>
      <w:r w:rsidRPr="00FB2322">
        <w:rPr>
          <w:rFonts w:hAnsi="宋体" w:cs="宋体"/>
        </w:rPr>
        <w:t>Java编程解决实际问题的能力，包括提取信息和数据分析能力</w:t>
      </w:r>
      <w:r w:rsidR="0096218C" w:rsidRPr="00FB2322">
        <w:rPr>
          <w:rFonts w:hAnsi="宋体" w:cs="宋体" w:hint="eastAsia"/>
        </w:rPr>
        <w:t>。</w:t>
      </w:r>
    </w:p>
    <w:p w:rsidR="00061B0A" w:rsidRPr="00FB2322" w:rsidRDefault="0096218C" w:rsidP="00FB2322">
      <w:pPr>
        <w:pStyle w:val="a3"/>
        <w:spacing w:beforeLines="50" w:before="156" w:afterLines="50" w:after="156"/>
        <w:ind w:firstLine="420"/>
        <w:rPr>
          <w:rFonts w:hAnsi="宋体" w:cs="宋体"/>
        </w:rPr>
      </w:pPr>
      <w:r>
        <w:rPr>
          <w:rFonts w:hAnsi="宋体" w:cs="宋体" w:hint="eastAsia"/>
          <w:b/>
        </w:rPr>
        <w:t>课程目标2：</w:t>
      </w:r>
      <w:r w:rsidR="00FB2322" w:rsidRPr="00FB2322">
        <w:rPr>
          <w:rFonts w:hAnsi="宋体" w:cs="宋体" w:hint="eastAsia"/>
        </w:rPr>
        <w:t>熟练掌握类的封装、继承、多态，会熟练的定义类、消息和方法，掌握方法重载的使用，掌握继承性和多态性，熟练抽象类、最终类的使用。具备将理论应用于解决实际问题的能力</w:t>
      </w:r>
      <w:r w:rsidRPr="00FB2322">
        <w:rPr>
          <w:rFonts w:hAnsi="宋体" w:cs="宋体" w:hint="eastAsia"/>
        </w:rPr>
        <w:t>。</w:t>
      </w:r>
    </w:p>
    <w:p w:rsidR="00061B0A" w:rsidRPr="00FB2322" w:rsidRDefault="0096218C">
      <w:pPr>
        <w:pStyle w:val="a3"/>
        <w:spacing w:beforeLines="50" w:before="156" w:afterLines="50" w:after="156"/>
        <w:ind w:firstLineChars="200" w:firstLine="422"/>
        <w:rPr>
          <w:rFonts w:hAnsi="宋体" w:cs="宋体"/>
          <w:bCs/>
        </w:rPr>
      </w:pPr>
      <w:r>
        <w:rPr>
          <w:rFonts w:hAnsi="宋体" w:cs="宋体" w:hint="eastAsia"/>
          <w:b/>
        </w:rPr>
        <w:t>课程目标3：</w:t>
      </w:r>
      <w:r w:rsidR="00FB2322" w:rsidRPr="00FB2322">
        <w:rPr>
          <w:rFonts w:hAnsi="宋体" w:cs="宋体" w:hint="eastAsia"/>
        </w:rPr>
        <w:t>掌握接口、内部类和</w:t>
      </w:r>
      <w:r w:rsidR="00FB2322" w:rsidRPr="00FB2322">
        <w:rPr>
          <w:rFonts w:hAnsi="宋体" w:cs="宋体"/>
        </w:rPr>
        <w:t>Java API的定义与实现，掌握泛型及其使用，了解java.lang包中的基础类库以及java.util包中的工具类库</w:t>
      </w:r>
      <w:r w:rsidRPr="00FB2322">
        <w:rPr>
          <w:rFonts w:hAnsi="宋体" w:cs="宋体" w:hint="eastAsia"/>
          <w:bCs/>
        </w:rPr>
        <w:t>。</w:t>
      </w:r>
    </w:p>
    <w:p w:rsidR="00061B0A" w:rsidRPr="00FB2322" w:rsidRDefault="00FB2322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4</w:t>
      </w:r>
      <w:r>
        <w:rPr>
          <w:rFonts w:hAnsi="宋体" w:cs="宋体" w:hint="eastAsia"/>
          <w:b/>
        </w:rPr>
        <w:t>：</w:t>
      </w:r>
      <w:r w:rsidRPr="00FB2322">
        <w:rPr>
          <w:rFonts w:hAnsi="宋体" w:cs="宋体" w:hint="eastAsia"/>
        </w:rPr>
        <w:t>培养学生对于在现实中使用代码解决问题的社会责任感，提高对商业道德的认知。</w:t>
      </w:r>
    </w:p>
    <w:p w:rsidR="00061B0A" w:rsidRDefault="0096218C">
      <w:pPr>
        <w:pStyle w:val="a3"/>
        <w:numPr>
          <w:ilvl w:val="0"/>
          <w:numId w:val="1"/>
        </w:numPr>
        <w:spacing w:beforeLines="50" w:before="156" w:afterLines="50" w:after="156"/>
        <w:ind w:firstLineChars="200" w:firstLine="480"/>
        <w:jc w:val="lef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课程目标与毕业要求、课程内容的对应关系</w:t>
      </w:r>
    </w:p>
    <w:p w:rsidR="00061B0A" w:rsidRDefault="0096218C">
      <w:pPr>
        <w:pStyle w:val="a3"/>
        <w:spacing w:beforeLines="50" w:before="156" w:afterLines="50" w:after="156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 xml:space="preserve"> </w:t>
      </w: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617"/>
        <w:gridCol w:w="3460"/>
        <w:gridCol w:w="2688"/>
      </w:tblGrid>
      <w:tr w:rsidR="00061B0A" w:rsidRPr="00301128" w:rsidTr="00301128">
        <w:trPr>
          <w:jc w:val="center"/>
        </w:trPr>
        <w:tc>
          <w:tcPr>
            <w:tcW w:w="1302" w:type="dxa"/>
            <w:vAlign w:val="center"/>
          </w:tcPr>
          <w:p w:rsidR="00061B0A" w:rsidRPr="00301128" w:rsidRDefault="0096218C" w:rsidP="005B7506">
            <w:pPr>
              <w:pStyle w:val="a3"/>
              <w:spacing w:beforeLines="50" w:before="156" w:afterLines="50" w:after="156"/>
              <w:contextualSpacing/>
              <w:jc w:val="center"/>
              <w:rPr>
                <w:rFonts w:hAnsi="宋体"/>
                <w:b/>
                <w:bCs/>
                <w:szCs w:val="21"/>
              </w:rPr>
            </w:pPr>
            <w:r w:rsidRPr="00301128">
              <w:rPr>
                <w:rFonts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617" w:type="dxa"/>
            <w:vAlign w:val="center"/>
          </w:tcPr>
          <w:p w:rsidR="00061B0A" w:rsidRPr="00301128" w:rsidRDefault="0096218C" w:rsidP="005B7506">
            <w:pPr>
              <w:pStyle w:val="a3"/>
              <w:spacing w:beforeLines="50" w:before="156" w:afterLines="50" w:after="156"/>
              <w:contextualSpacing/>
              <w:jc w:val="center"/>
              <w:rPr>
                <w:rFonts w:hAnsi="宋体" w:cs="宋体"/>
                <w:b/>
              </w:rPr>
            </w:pPr>
            <w:r w:rsidRPr="00301128"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460" w:type="dxa"/>
            <w:vAlign w:val="center"/>
          </w:tcPr>
          <w:p w:rsidR="00061B0A" w:rsidRPr="00301128" w:rsidRDefault="0096218C" w:rsidP="005B7506">
            <w:pPr>
              <w:pStyle w:val="a3"/>
              <w:spacing w:beforeLines="50" w:before="156" w:afterLines="50" w:after="156"/>
              <w:contextualSpacing/>
              <w:jc w:val="center"/>
              <w:rPr>
                <w:rFonts w:hAnsi="宋体"/>
                <w:b/>
                <w:bCs/>
                <w:szCs w:val="21"/>
              </w:rPr>
            </w:pPr>
            <w:r w:rsidRPr="00301128">
              <w:rPr>
                <w:rFonts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061B0A" w:rsidRPr="00301128" w:rsidRDefault="0096218C" w:rsidP="005B7506">
            <w:pPr>
              <w:pStyle w:val="a3"/>
              <w:spacing w:beforeLines="50" w:before="156" w:afterLines="50" w:after="156"/>
              <w:contextualSpacing/>
              <w:jc w:val="center"/>
              <w:rPr>
                <w:rFonts w:hAnsi="宋体"/>
                <w:b/>
                <w:bCs/>
                <w:szCs w:val="21"/>
              </w:rPr>
            </w:pPr>
            <w:r w:rsidRPr="00301128">
              <w:rPr>
                <w:rFonts w:hAnsi="宋体" w:hint="eastAsia"/>
                <w:b/>
                <w:bCs/>
                <w:szCs w:val="21"/>
              </w:rPr>
              <w:t>对应毕业要求</w:t>
            </w:r>
          </w:p>
        </w:tc>
      </w:tr>
      <w:tr w:rsidR="00301128" w:rsidRPr="00301128" w:rsidTr="00301128">
        <w:trPr>
          <w:jc w:val="center"/>
        </w:trPr>
        <w:tc>
          <w:tcPr>
            <w:tcW w:w="1302" w:type="dxa"/>
            <w:vMerge w:val="restart"/>
            <w:vAlign w:val="center"/>
          </w:tcPr>
          <w:p w:rsidR="00301128" w:rsidRPr="00301128" w:rsidRDefault="00301128" w:rsidP="00301128">
            <w:pPr>
              <w:pStyle w:val="a3"/>
              <w:spacing w:beforeLines="50" w:before="156" w:afterLines="50" w:after="156"/>
              <w:contextualSpacing/>
              <w:jc w:val="center"/>
              <w:rPr>
                <w:rFonts w:hAnsi="宋体" w:cs="宋体"/>
                <w:szCs w:val="21"/>
              </w:rPr>
            </w:pPr>
            <w:r w:rsidRPr="00301128"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617" w:type="dxa"/>
            <w:vAlign w:val="center"/>
          </w:tcPr>
          <w:p w:rsidR="00301128" w:rsidRPr="00301128" w:rsidRDefault="00301128" w:rsidP="00301128">
            <w:pPr>
              <w:contextualSpacing/>
              <w:rPr>
                <w:rFonts w:ascii="宋体" w:eastAsia="宋体" w:hAnsi="宋体"/>
              </w:rPr>
            </w:pPr>
            <w:r w:rsidRPr="00301128">
              <w:rPr>
                <w:rFonts w:ascii="宋体" w:eastAsia="宋体" w:hAnsi="宋体"/>
              </w:rPr>
              <w:t xml:space="preserve">1.1 </w:t>
            </w:r>
            <w:r w:rsidRPr="00301128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3460" w:type="dxa"/>
            <w:vAlign w:val="center"/>
          </w:tcPr>
          <w:p w:rsidR="00301128" w:rsidRPr="00301128" w:rsidRDefault="00301128" w:rsidP="00301128">
            <w:pPr>
              <w:rPr>
                <w:rFonts w:ascii="宋体" w:eastAsia="宋体" w:hAnsi="宋体"/>
              </w:rPr>
            </w:pPr>
            <w:r w:rsidRPr="00301128">
              <w:rPr>
                <w:rFonts w:ascii="宋体" w:eastAsia="宋体" w:hAnsi="宋体" w:hint="eastAsia"/>
              </w:rPr>
              <w:t>电子商务法概述</w:t>
            </w:r>
          </w:p>
        </w:tc>
        <w:tc>
          <w:tcPr>
            <w:tcW w:w="2688" w:type="dxa"/>
            <w:vAlign w:val="center"/>
          </w:tcPr>
          <w:p w:rsidR="00301128" w:rsidRPr="00301128" w:rsidRDefault="00301128" w:rsidP="00301128">
            <w:pPr>
              <w:rPr>
                <w:rFonts w:ascii="宋体" w:eastAsia="宋体" w:hAnsi="宋体"/>
              </w:rPr>
            </w:pPr>
            <w:r w:rsidRPr="00301128">
              <w:rPr>
                <w:rFonts w:ascii="宋体" w:eastAsia="宋体" w:hAnsi="宋体"/>
              </w:rPr>
              <w:t>理解电子商务法的基本原</w:t>
            </w:r>
            <w:r w:rsidRPr="00301128">
              <w:rPr>
                <w:rFonts w:ascii="宋体" w:eastAsia="宋体" w:hAnsi="宋体"/>
              </w:rPr>
              <w:lastRenderedPageBreak/>
              <w:t>理</w:t>
            </w:r>
          </w:p>
        </w:tc>
      </w:tr>
      <w:tr w:rsidR="00301128" w:rsidRPr="00301128" w:rsidTr="007F1691">
        <w:trPr>
          <w:trHeight w:val="662"/>
          <w:jc w:val="center"/>
        </w:trPr>
        <w:tc>
          <w:tcPr>
            <w:tcW w:w="1302" w:type="dxa"/>
            <w:vMerge/>
            <w:vAlign w:val="center"/>
          </w:tcPr>
          <w:p w:rsidR="00301128" w:rsidRPr="00301128" w:rsidRDefault="00301128" w:rsidP="00301128">
            <w:pPr>
              <w:pStyle w:val="a3"/>
              <w:spacing w:beforeLines="50" w:before="156" w:afterLines="50" w:after="156"/>
              <w:contextualSpacing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301128" w:rsidRPr="00301128" w:rsidRDefault="00301128" w:rsidP="00301128">
            <w:pPr>
              <w:widowControl/>
              <w:spacing w:before="480" w:after="480"/>
              <w:contextualSpacing/>
              <w:jc w:val="left"/>
              <w:rPr>
                <w:rFonts w:ascii="宋体" w:eastAsia="宋体" w:hAnsi="宋体" w:cs="Segoe UI"/>
                <w:color w:val="374151"/>
                <w:kern w:val="0"/>
                <w:szCs w:val="21"/>
              </w:rPr>
            </w:pP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 xml:space="preserve">1.2 </w:t>
            </w:r>
            <w:r w:rsidRPr="00301128">
              <w:rPr>
                <w:rFonts w:ascii="宋体" w:eastAsia="宋体" w:hAnsi="宋体" w:cs="Segoe UI" w:hint="eastAsia"/>
                <w:color w:val="374151"/>
                <w:szCs w:val="21"/>
              </w:rPr>
              <w:t xml:space="preserve"> </w:t>
            </w:r>
          </w:p>
        </w:tc>
        <w:tc>
          <w:tcPr>
            <w:tcW w:w="3460" w:type="dxa"/>
            <w:vAlign w:val="center"/>
          </w:tcPr>
          <w:p w:rsidR="00301128" w:rsidRPr="00301128" w:rsidRDefault="00301128" w:rsidP="00301128">
            <w:pPr>
              <w:rPr>
                <w:rFonts w:ascii="宋体" w:eastAsia="宋体" w:hAnsi="宋体"/>
              </w:rPr>
            </w:pPr>
            <w:r w:rsidRPr="00301128">
              <w:rPr>
                <w:rFonts w:ascii="宋体" w:eastAsia="宋体" w:hAnsi="宋体" w:hint="eastAsia"/>
              </w:rPr>
              <w:t>合同法在电子商务中的应用</w:t>
            </w:r>
          </w:p>
        </w:tc>
        <w:tc>
          <w:tcPr>
            <w:tcW w:w="2688" w:type="dxa"/>
            <w:vAlign w:val="center"/>
          </w:tcPr>
          <w:p w:rsidR="00301128" w:rsidRPr="00301128" w:rsidRDefault="00301128" w:rsidP="00301128">
            <w:pPr>
              <w:rPr>
                <w:rFonts w:ascii="宋体" w:eastAsia="宋体" w:hAnsi="宋体"/>
              </w:rPr>
            </w:pPr>
            <w:r w:rsidRPr="00301128">
              <w:rPr>
                <w:rFonts w:ascii="宋体" w:eastAsia="宋体" w:hAnsi="宋体"/>
              </w:rPr>
              <w:t>能够分析电子商务领域的法律问题</w:t>
            </w:r>
          </w:p>
        </w:tc>
      </w:tr>
      <w:tr w:rsidR="00301128" w:rsidRPr="00301128" w:rsidTr="007F1691">
        <w:trPr>
          <w:trHeight w:val="1140"/>
          <w:jc w:val="center"/>
        </w:trPr>
        <w:tc>
          <w:tcPr>
            <w:tcW w:w="1302" w:type="dxa"/>
            <w:vMerge/>
            <w:vAlign w:val="center"/>
          </w:tcPr>
          <w:p w:rsidR="00301128" w:rsidRPr="00301128" w:rsidRDefault="00301128" w:rsidP="00301128">
            <w:pPr>
              <w:pStyle w:val="a3"/>
              <w:spacing w:beforeLines="50" w:before="156" w:afterLines="50" w:after="156"/>
              <w:contextualSpacing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301128" w:rsidRPr="00301128" w:rsidRDefault="00301128" w:rsidP="00301128">
            <w:pPr>
              <w:widowControl/>
              <w:spacing w:before="480" w:after="480"/>
              <w:contextualSpacing/>
              <w:jc w:val="left"/>
              <w:rPr>
                <w:rFonts w:ascii="宋体" w:eastAsia="宋体" w:hAnsi="宋体" w:cs="Segoe UI"/>
                <w:color w:val="374151"/>
                <w:kern w:val="0"/>
                <w:szCs w:val="21"/>
              </w:rPr>
            </w:pP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>1.3</w:t>
            </w:r>
            <w:r w:rsidRPr="00301128">
              <w:rPr>
                <w:rFonts w:ascii="宋体" w:eastAsia="宋体" w:hAnsi="宋体" w:cs="Segoe UI" w:hint="eastAsia"/>
                <w:color w:val="374151"/>
                <w:szCs w:val="21"/>
              </w:rPr>
              <w:t xml:space="preserve"> </w:t>
            </w:r>
          </w:p>
        </w:tc>
        <w:tc>
          <w:tcPr>
            <w:tcW w:w="3460" w:type="dxa"/>
            <w:vAlign w:val="center"/>
          </w:tcPr>
          <w:p w:rsidR="00301128" w:rsidRPr="00301128" w:rsidRDefault="00301128" w:rsidP="00301128">
            <w:pPr>
              <w:widowControl/>
              <w:spacing w:before="480" w:after="480"/>
              <w:jc w:val="left"/>
              <w:rPr>
                <w:rFonts w:ascii="宋体" w:eastAsia="宋体" w:hAnsi="宋体" w:cs="Segoe UI"/>
                <w:color w:val="374151"/>
                <w:kern w:val="0"/>
                <w:szCs w:val="21"/>
              </w:rPr>
            </w:pP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>商标、版权和专利在电子商务中的作用</w:t>
            </w:r>
          </w:p>
        </w:tc>
        <w:tc>
          <w:tcPr>
            <w:tcW w:w="2688" w:type="dxa"/>
            <w:vAlign w:val="center"/>
          </w:tcPr>
          <w:p w:rsidR="00301128" w:rsidRPr="00301128" w:rsidRDefault="00301128" w:rsidP="00301128">
            <w:pPr>
              <w:spacing w:before="480" w:after="480"/>
              <w:rPr>
                <w:rFonts w:ascii="宋体" w:eastAsia="宋体" w:hAnsi="宋体" w:cs="Segoe UI"/>
                <w:color w:val="374151"/>
                <w:szCs w:val="21"/>
              </w:rPr>
            </w:pP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>能够解决电子商务法律纠纷</w:t>
            </w:r>
          </w:p>
        </w:tc>
      </w:tr>
      <w:tr w:rsidR="00FB2322" w:rsidRPr="00301128" w:rsidTr="00301128">
        <w:trPr>
          <w:jc w:val="center"/>
        </w:trPr>
        <w:tc>
          <w:tcPr>
            <w:tcW w:w="1302" w:type="dxa"/>
            <w:vMerge w:val="restart"/>
            <w:vAlign w:val="center"/>
          </w:tcPr>
          <w:p w:rsidR="00FB2322" w:rsidRPr="00301128" w:rsidRDefault="00FB2322" w:rsidP="005B7506">
            <w:pPr>
              <w:pStyle w:val="a3"/>
              <w:spacing w:beforeLines="50" w:before="156" w:afterLines="50" w:after="156"/>
              <w:contextualSpacing/>
              <w:jc w:val="center"/>
              <w:rPr>
                <w:rFonts w:hAnsi="宋体" w:cs="宋体"/>
                <w:szCs w:val="21"/>
              </w:rPr>
            </w:pPr>
            <w:r w:rsidRPr="00301128"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617" w:type="dxa"/>
            <w:vAlign w:val="center"/>
          </w:tcPr>
          <w:p w:rsidR="00FB2322" w:rsidRPr="00301128" w:rsidRDefault="00FB2322" w:rsidP="00301128">
            <w:pPr>
              <w:widowControl/>
              <w:spacing w:before="480" w:after="480"/>
              <w:contextualSpacing/>
              <w:jc w:val="left"/>
              <w:rPr>
                <w:rFonts w:ascii="宋体" w:eastAsia="宋体" w:hAnsi="宋体" w:cs="Segoe UI"/>
                <w:color w:val="374151"/>
                <w:kern w:val="0"/>
                <w:szCs w:val="21"/>
              </w:rPr>
            </w:pP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 xml:space="preserve">2.1 </w:t>
            </w:r>
            <w:r w:rsidR="00301128" w:rsidRPr="00301128">
              <w:rPr>
                <w:rFonts w:ascii="宋体" w:eastAsia="宋体" w:hAnsi="宋体" w:cs="Segoe UI" w:hint="eastAsia"/>
                <w:color w:val="374151"/>
                <w:szCs w:val="21"/>
              </w:rPr>
              <w:t xml:space="preserve"> </w:t>
            </w:r>
          </w:p>
        </w:tc>
        <w:tc>
          <w:tcPr>
            <w:tcW w:w="3460" w:type="dxa"/>
            <w:vAlign w:val="center"/>
          </w:tcPr>
          <w:p w:rsidR="00FB2322" w:rsidRPr="00301128" w:rsidRDefault="00301128" w:rsidP="00301128">
            <w:pPr>
              <w:spacing w:before="480" w:after="480"/>
              <w:contextualSpacing/>
              <w:rPr>
                <w:rFonts w:ascii="宋体" w:eastAsia="宋体" w:hAnsi="宋体" w:cs="Segoe UI"/>
                <w:color w:val="374151"/>
                <w:szCs w:val="21"/>
              </w:rPr>
            </w:pPr>
            <w:r w:rsidRPr="00301128">
              <w:rPr>
                <w:rFonts w:ascii="宋体" w:eastAsia="宋体" w:hAnsi="宋体" w:cs="Segoe UI" w:hint="eastAsia"/>
                <w:color w:val="374151"/>
                <w:szCs w:val="21"/>
              </w:rPr>
              <w:t>消费者权益保护法和电子商务</w:t>
            </w: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ab/>
            </w:r>
          </w:p>
        </w:tc>
        <w:tc>
          <w:tcPr>
            <w:tcW w:w="2688" w:type="dxa"/>
            <w:vAlign w:val="center"/>
          </w:tcPr>
          <w:p w:rsidR="00FB2322" w:rsidRPr="00301128" w:rsidRDefault="00301128" w:rsidP="005B7506">
            <w:pPr>
              <w:spacing w:before="480" w:after="480"/>
              <w:contextualSpacing/>
              <w:rPr>
                <w:rFonts w:ascii="宋体" w:eastAsia="宋体" w:hAnsi="宋体" w:cs="Segoe UI"/>
                <w:color w:val="374151"/>
                <w:szCs w:val="21"/>
              </w:rPr>
            </w:pP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>理解商业环境中的法律风险</w:t>
            </w:r>
          </w:p>
        </w:tc>
      </w:tr>
      <w:tr w:rsidR="00301128" w:rsidRPr="00301128" w:rsidTr="007F1691">
        <w:trPr>
          <w:trHeight w:val="1145"/>
          <w:jc w:val="center"/>
        </w:trPr>
        <w:tc>
          <w:tcPr>
            <w:tcW w:w="1302" w:type="dxa"/>
            <w:vMerge/>
            <w:vAlign w:val="center"/>
          </w:tcPr>
          <w:p w:rsidR="00301128" w:rsidRPr="00301128" w:rsidRDefault="00301128" w:rsidP="00301128">
            <w:pPr>
              <w:pStyle w:val="a3"/>
              <w:spacing w:beforeLines="50" w:before="156" w:afterLines="50" w:after="156"/>
              <w:contextualSpacing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301128" w:rsidRPr="00301128" w:rsidRDefault="00301128" w:rsidP="00301128">
            <w:pPr>
              <w:widowControl/>
              <w:spacing w:before="480" w:after="480"/>
              <w:contextualSpacing/>
              <w:jc w:val="left"/>
              <w:rPr>
                <w:rFonts w:ascii="宋体" w:eastAsia="宋体" w:hAnsi="宋体" w:cs="Segoe UI"/>
                <w:color w:val="374151"/>
                <w:kern w:val="0"/>
                <w:szCs w:val="21"/>
              </w:rPr>
            </w:pP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 xml:space="preserve">2.2. </w:t>
            </w:r>
            <w:r w:rsidRPr="00301128">
              <w:rPr>
                <w:rFonts w:ascii="宋体" w:eastAsia="宋体" w:hAnsi="宋体" w:cs="Segoe UI" w:hint="eastAsia"/>
                <w:color w:val="374151"/>
                <w:szCs w:val="21"/>
              </w:rPr>
              <w:t xml:space="preserve"> </w:t>
            </w:r>
          </w:p>
        </w:tc>
        <w:tc>
          <w:tcPr>
            <w:tcW w:w="3460" w:type="dxa"/>
            <w:vAlign w:val="center"/>
          </w:tcPr>
          <w:p w:rsidR="00301128" w:rsidRPr="00301128" w:rsidRDefault="00301128" w:rsidP="00301128">
            <w:pPr>
              <w:widowControl/>
              <w:spacing w:before="480" w:after="480"/>
              <w:jc w:val="left"/>
              <w:rPr>
                <w:rFonts w:ascii="宋体" w:eastAsia="宋体" w:hAnsi="宋体" w:cs="Segoe UI"/>
                <w:color w:val="374151"/>
                <w:kern w:val="0"/>
                <w:szCs w:val="21"/>
              </w:rPr>
            </w:pP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>隐私法和数据保护在电子商务中的挑战和解决方案</w:t>
            </w:r>
          </w:p>
        </w:tc>
        <w:tc>
          <w:tcPr>
            <w:tcW w:w="2688" w:type="dxa"/>
            <w:vAlign w:val="center"/>
          </w:tcPr>
          <w:p w:rsidR="00301128" w:rsidRPr="00301128" w:rsidRDefault="00301128" w:rsidP="00301128">
            <w:pPr>
              <w:spacing w:before="480" w:after="480"/>
              <w:rPr>
                <w:rFonts w:ascii="宋体" w:eastAsia="宋体" w:hAnsi="宋体" w:cs="Segoe UI"/>
                <w:color w:val="374151"/>
                <w:szCs w:val="21"/>
              </w:rPr>
            </w:pP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>能够遵循法律规定进行电子商务活动</w:t>
            </w:r>
          </w:p>
        </w:tc>
      </w:tr>
      <w:tr w:rsidR="00301128" w:rsidRPr="00301128" w:rsidTr="00301128">
        <w:trPr>
          <w:trHeight w:val="1416"/>
          <w:jc w:val="center"/>
        </w:trPr>
        <w:tc>
          <w:tcPr>
            <w:tcW w:w="1302" w:type="dxa"/>
            <w:vAlign w:val="center"/>
          </w:tcPr>
          <w:p w:rsidR="00301128" w:rsidRPr="00301128" w:rsidRDefault="00301128" w:rsidP="00301128">
            <w:pPr>
              <w:pStyle w:val="a3"/>
              <w:spacing w:beforeLines="50" w:before="156" w:afterLines="50" w:after="156"/>
              <w:contextualSpacing/>
              <w:jc w:val="center"/>
              <w:rPr>
                <w:rFonts w:hAnsi="宋体" w:cs="宋体" w:hint="eastAsia"/>
                <w:szCs w:val="21"/>
              </w:rPr>
            </w:pPr>
            <w:r w:rsidRPr="00301128"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617" w:type="dxa"/>
            <w:vAlign w:val="center"/>
          </w:tcPr>
          <w:p w:rsidR="00301128" w:rsidRPr="00301128" w:rsidRDefault="00301128" w:rsidP="00301128">
            <w:pPr>
              <w:widowControl/>
              <w:spacing w:before="480" w:after="480"/>
              <w:contextualSpacing/>
              <w:jc w:val="left"/>
              <w:rPr>
                <w:rFonts w:ascii="宋体" w:eastAsia="宋体" w:hAnsi="宋体" w:cs="Segoe UI"/>
                <w:color w:val="374151"/>
                <w:szCs w:val="21"/>
              </w:rPr>
            </w:pPr>
            <w:r w:rsidRPr="00301128">
              <w:rPr>
                <w:rFonts w:ascii="宋体" w:eastAsia="宋体" w:hAnsi="宋体" w:cs="Segoe UI" w:hint="eastAsia"/>
                <w:color w:val="374151"/>
                <w:szCs w:val="21"/>
              </w:rPr>
              <w:t>3.</w:t>
            </w: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>1</w:t>
            </w:r>
          </w:p>
        </w:tc>
        <w:tc>
          <w:tcPr>
            <w:tcW w:w="3460" w:type="dxa"/>
            <w:vAlign w:val="center"/>
          </w:tcPr>
          <w:p w:rsidR="00301128" w:rsidRPr="00301128" w:rsidRDefault="00301128" w:rsidP="00301128">
            <w:pPr>
              <w:widowControl/>
              <w:spacing w:before="480" w:after="480"/>
              <w:jc w:val="left"/>
              <w:rPr>
                <w:rFonts w:ascii="宋体" w:eastAsia="宋体" w:hAnsi="宋体" w:cs="Segoe UI"/>
                <w:color w:val="374151"/>
                <w:kern w:val="0"/>
                <w:szCs w:val="21"/>
              </w:rPr>
            </w:pP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>电子商务交易中的税收法律问题</w:t>
            </w:r>
            <w:r w:rsidRPr="00301128">
              <w:rPr>
                <w:rFonts w:ascii="宋体" w:eastAsia="宋体" w:hAnsi="宋体" w:cs="Segoe UI" w:hint="eastAsia"/>
                <w:color w:val="374151"/>
                <w:szCs w:val="21"/>
              </w:rPr>
              <w:t>，电子支付、数字货币和金融法律问题</w:t>
            </w:r>
          </w:p>
        </w:tc>
        <w:tc>
          <w:tcPr>
            <w:tcW w:w="2688" w:type="dxa"/>
            <w:vAlign w:val="center"/>
          </w:tcPr>
          <w:p w:rsidR="00301128" w:rsidRPr="00301128" w:rsidRDefault="00301128" w:rsidP="00301128">
            <w:pPr>
              <w:spacing w:before="480" w:after="480"/>
              <w:rPr>
                <w:rFonts w:ascii="宋体" w:eastAsia="宋体" w:hAnsi="宋体" w:cs="Segoe UI"/>
                <w:color w:val="374151"/>
                <w:szCs w:val="21"/>
              </w:rPr>
            </w:pP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>能够合理规划税务事务</w:t>
            </w:r>
            <w:r w:rsidRPr="00301128">
              <w:rPr>
                <w:rFonts w:ascii="宋体" w:eastAsia="宋体" w:hAnsi="宋体" w:cs="Segoe UI" w:hint="eastAsia"/>
                <w:color w:val="374151"/>
                <w:szCs w:val="21"/>
              </w:rPr>
              <w:t>，解读和遵循金融法规定</w:t>
            </w:r>
          </w:p>
        </w:tc>
      </w:tr>
      <w:tr w:rsidR="00301128" w:rsidRPr="00301128" w:rsidTr="00301128">
        <w:trPr>
          <w:trHeight w:val="1416"/>
          <w:jc w:val="center"/>
        </w:trPr>
        <w:tc>
          <w:tcPr>
            <w:tcW w:w="1302" w:type="dxa"/>
            <w:vAlign w:val="center"/>
          </w:tcPr>
          <w:p w:rsidR="00301128" w:rsidRPr="00301128" w:rsidRDefault="00301128" w:rsidP="00301128">
            <w:pPr>
              <w:pStyle w:val="a3"/>
              <w:spacing w:beforeLines="50" w:before="156" w:afterLines="50" w:after="156"/>
              <w:contextualSpacing/>
              <w:jc w:val="center"/>
              <w:rPr>
                <w:rFonts w:hAnsi="宋体" w:cs="宋体"/>
                <w:szCs w:val="21"/>
              </w:rPr>
            </w:pPr>
            <w:r w:rsidRPr="00301128">
              <w:rPr>
                <w:rFonts w:hAnsi="宋体" w:cs="宋体" w:hint="eastAsia"/>
                <w:szCs w:val="21"/>
              </w:rPr>
              <w:t>课程目标</w:t>
            </w:r>
            <w:r w:rsidRPr="00301128">
              <w:rPr>
                <w:rFonts w:hAnsi="宋体" w:cs="宋体"/>
                <w:szCs w:val="21"/>
              </w:rPr>
              <w:t>4</w:t>
            </w:r>
          </w:p>
        </w:tc>
        <w:tc>
          <w:tcPr>
            <w:tcW w:w="1617" w:type="dxa"/>
            <w:vAlign w:val="center"/>
          </w:tcPr>
          <w:p w:rsidR="00301128" w:rsidRPr="00301128" w:rsidRDefault="00301128" w:rsidP="00301128">
            <w:pPr>
              <w:widowControl/>
              <w:spacing w:before="480" w:after="480"/>
              <w:contextualSpacing/>
              <w:jc w:val="left"/>
              <w:rPr>
                <w:rFonts w:ascii="宋体" w:eastAsia="宋体" w:hAnsi="宋体" w:cs="Segoe UI"/>
                <w:color w:val="374151"/>
                <w:kern w:val="0"/>
                <w:szCs w:val="21"/>
              </w:rPr>
            </w:pP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>3.2</w:t>
            </w:r>
          </w:p>
        </w:tc>
        <w:tc>
          <w:tcPr>
            <w:tcW w:w="3460" w:type="dxa"/>
            <w:vAlign w:val="center"/>
          </w:tcPr>
          <w:p w:rsidR="00301128" w:rsidRPr="00301128" w:rsidRDefault="00301128" w:rsidP="00301128">
            <w:pPr>
              <w:widowControl/>
              <w:spacing w:before="480" w:after="480"/>
              <w:jc w:val="left"/>
              <w:rPr>
                <w:rFonts w:ascii="宋体" w:eastAsia="宋体" w:hAnsi="宋体" w:cs="Segoe UI"/>
                <w:color w:val="374151"/>
                <w:kern w:val="0"/>
                <w:szCs w:val="21"/>
              </w:rPr>
            </w:pP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>人工智能、区块链等新技术对电子商务法的影响</w:t>
            </w:r>
          </w:p>
        </w:tc>
        <w:tc>
          <w:tcPr>
            <w:tcW w:w="2688" w:type="dxa"/>
            <w:vAlign w:val="center"/>
          </w:tcPr>
          <w:p w:rsidR="00301128" w:rsidRPr="00301128" w:rsidRDefault="00301128" w:rsidP="00301128">
            <w:pPr>
              <w:spacing w:before="480" w:after="480"/>
              <w:rPr>
                <w:rFonts w:ascii="宋体" w:eastAsia="宋体" w:hAnsi="宋体" w:cs="Segoe UI"/>
                <w:color w:val="374151"/>
                <w:szCs w:val="21"/>
              </w:rPr>
            </w:pPr>
            <w:r w:rsidRPr="00301128">
              <w:rPr>
                <w:rFonts w:ascii="宋体" w:eastAsia="宋体" w:hAnsi="宋体" w:cs="Segoe UI"/>
                <w:color w:val="374151"/>
                <w:szCs w:val="21"/>
              </w:rPr>
              <w:t>能够应对新兴技术引发的法律问题</w:t>
            </w:r>
          </w:p>
        </w:tc>
      </w:tr>
    </w:tbl>
    <w:p w:rsidR="00061B0A" w:rsidRDefault="0096218C">
      <w:pPr>
        <w:widowControl/>
        <w:numPr>
          <w:ilvl w:val="0"/>
          <w:numId w:val="2"/>
        </w:numPr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教学内容</w:t>
      </w:r>
    </w:p>
    <w:p w:rsidR="007F1691" w:rsidRPr="007F1691" w:rsidRDefault="0096218C" w:rsidP="007F1691">
      <w:pPr>
        <w:pStyle w:val="Session"/>
        <w:rPr>
          <w:rFonts w:ascii="宋体" w:hAnsi="宋体"/>
          <w:b w:val="0"/>
          <w:bCs/>
        </w:rPr>
      </w:pPr>
      <w:r w:rsidRPr="007F1691">
        <w:rPr>
          <w:rFonts w:ascii="宋体" w:hAnsi="宋体" w:hint="eastAsia"/>
          <w:b w:val="0"/>
        </w:rPr>
        <w:t xml:space="preserve">  </w:t>
      </w:r>
      <w:r w:rsidR="007F1691" w:rsidRPr="007F1691">
        <w:rPr>
          <w:rFonts w:ascii="宋体" w:hAnsi="宋体"/>
          <w:b w:val="0"/>
          <w:bCs/>
        </w:rPr>
        <w:t>第一章：电子商务法概述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主要内容：</w:t>
      </w:r>
    </w:p>
    <w:p w:rsidR="007F1691" w:rsidRPr="007F1691" w:rsidRDefault="007F1691" w:rsidP="007F1691">
      <w:pPr>
        <w:pStyle w:val="Session"/>
        <w:numPr>
          <w:ilvl w:val="0"/>
          <w:numId w:val="9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电子商务法的定义和范围</w:t>
      </w:r>
    </w:p>
    <w:p w:rsidR="007F1691" w:rsidRPr="007F1691" w:rsidRDefault="007F1691" w:rsidP="007F1691">
      <w:pPr>
        <w:pStyle w:val="Session"/>
        <w:numPr>
          <w:ilvl w:val="0"/>
          <w:numId w:val="9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电子商务法的历史和发展趋势</w:t>
      </w:r>
    </w:p>
    <w:p w:rsidR="007F1691" w:rsidRPr="007F1691" w:rsidRDefault="007F1691" w:rsidP="007F1691">
      <w:pPr>
        <w:pStyle w:val="Session"/>
        <w:numPr>
          <w:ilvl w:val="0"/>
          <w:numId w:val="9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电子商务法律体系和相关法律法规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主要目标：</w:t>
      </w:r>
    </w:p>
    <w:p w:rsidR="007F1691" w:rsidRPr="007F1691" w:rsidRDefault="007F1691" w:rsidP="007F1691">
      <w:pPr>
        <w:pStyle w:val="Session"/>
        <w:numPr>
          <w:ilvl w:val="0"/>
          <w:numId w:val="10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了解电子商务法的基本概念和背景</w:t>
      </w:r>
    </w:p>
    <w:p w:rsidR="007F1691" w:rsidRPr="007F1691" w:rsidRDefault="007F1691" w:rsidP="007F1691">
      <w:pPr>
        <w:pStyle w:val="Session"/>
        <w:numPr>
          <w:ilvl w:val="0"/>
          <w:numId w:val="10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掌握电子商务法发展的历程和趋势</w:t>
      </w:r>
    </w:p>
    <w:p w:rsidR="007F1691" w:rsidRPr="007F1691" w:rsidRDefault="007F1691" w:rsidP="007F1691">
      <w:pPr>
        <w:pStyle w:val="Session"/>
        <w:numPr>
          <w:ilvl w:val="0"/>
          <w:numId w:val="10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lastRenderedPageBreak/>
        <w:t>理解电子商务法律体系和法规的重要性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教学重难点：</w:t>
      </w:r>
    </w:p>
    <w:p w:rsidR="007F1691" w:rsidRPr="007F1691" w:rsidRDefault="007F1691" w:rsidP="007F1691">
      <w:pPr>
        <w:pStyle w:val="Session"/>
        <w:numPr>
          <w:ilvl w:val="0"/>
          <w:numId w:val="11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理解电子商务法与传统商法的区别</w:t>
      </w:r>
    </w:p>
    <w:p w:rsidR="007F1691" w:rsidRPr="007F1691" w:rsidRDefault="007F1691" w:rsidP="007F1691">
      <w:pPr>
        <w:pStyle w:val="Session"/>
        <w:numPr>
          <w:ilvl w:val="0"/>
          <w:numId w:val="11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掌握电子商务法律框架的组成和特点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教学评价：</w:t>
      </w:r>
    </w:p>
    <w:p w:rsidR="007F1691" w:rsidRPr="007F1691" w:rsidRDefault="007F1691" w:rsidP="007F1691">
      <w:pPr>
        <w:pStyle w:val="Session"/>
        <w:numPr>
          <w:ilvl w:val="0"/>
          <w:numId w:val="12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参与讨论，分析电子商务法的重要性和挑战</w:t>
      </w:r>
    </w:p>
    <w:p w:rsidR="007F1691" w:rsidRPr="007F1691" w:rsidRDefault="007F1691" w:rsidP="007F1691">
      <w:pPr>
        <w:pStyle w:val="Session"/>
        <w:numPr>
          <w:ilvl w:val="0"/>
          <w:numId w:val="12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提交短篇论文，总结电子商务法律体系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  <w:bCs/>
        </w:rPr>
      </w:pPr>
      <w:r w:rsidRPr="007F1691">
        <w:rPr>
          <w:rFonts w:ascii="宋体" w:hAnsi="宋体"/>
          <w:b w:val="0"/>
          <w:bCs/>
        </w:rPr>
        <w:t>第二章：电子合同与法律规定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主要内容：</w:t>
      </w:r>
    </w:p>
    <w:p w:rsidR="007F1691" w:rsidRPr="007F1691" w:rsidRDefault="007F1691" w:rsidP="007F1691">
      <w:pPr>
        <w:pStyle w:val="Session"/>
        <w:numPr>
          <w:ilvl w:val="0"/>
          <w:numId w:val="13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合同法在电子商务中的适用性</w:t>
      </w:r>
    </w:p>
    <w:p w:rsidR="007F1691" w:rsidRPr="007F1691" w:rsidRDefault="007F1691" w:rsidP="007F1691">
      <w:pPr>
        <w:pStyle w:val="Session"/>
        <w:numPr>
          <w:ilvl w:val="0"/>
          <w:numId w:val="13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电子合同的要素和形式要求</w:t>
      </w:r>
    </w:p>
    <w:p w:rsidR="007F1691" w:rsidRPr="007F1691" w:rsidRDefault="007F1691" w:rsidP="007F1691">
      <w:pPr>
        <w:pStyle w:val="Session"/>
        <w:numPr>
          <w:ilvl w:val="0"/>
          <w:numId w:val="13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电子签名的法律认可和实践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主要目标：</w:t>
      </w:r>
    </w:p>
    <w:p w:rsidR="007F1691" w:rsidRPr="007F1691" w:rsidRDefault="007F1691" w:rsidP="007F1691">
      <w:pPr>
        <w:pStyle w:val="Session"/>
        <w:numPr>
          <w:ilvl w:val="0"/>
          <w:numId w:val="14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掌握合同法在电子商务中的应用原则</w:t>
      </w:r>
    </w:p>
    <w:p w:rsidR="007F1691" w:rsidRPr="007F1691" w:rsidRDefault="007F1691" w:rsidP="007F1691">
      <w:pPr>
        <w:pStyle w:val="Session"/>
        <w:numPr>
          <w:ilvl w:val="0"/>
          <w:numId w:val="14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理解电子合同的构成要素和效力</w:t>
      </w:r>
    </w:p>
    <w:p w:rsidR="007F1691" w:rsidRPr="007F1691" w:rsidRDefault="007F1691" w:rsidP="007F1691">
      <w:pPr>
        <w:pStyle w:val="Session"/>
        <w:numPr>
          <w:ilvl w:val="0"/>
          <w:numId w:val="14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了解电子签名的法律认可和实际应用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教学重难点：</w:t>
      </w:r>
    </w:p>
    <w:p w:rsidR="007F1691" w:rsidRPr="007F1691" w:rsidRDefault="007F1691" w:rsidP="007F1691">
      <w:pPr>
        <w:pStyle w:val="Session"/>
        <w:numPr>
          <w:ilvl w:val="0"/>
          <w:numId w:val="15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理解电子合同要素在实际业务中的具体表现</w:t>
      </w:r>
    </w:p>
    <w:p w:rsidR="007F1691" w:rsidRPr="007F1691" w:rsidRDefault="007F1691" w:rsidP="007F1691">
      <w:pPr>
        <w:pStyle w:val="Session"/>
        <w:numPr>
          <w:ilvl w:val="0"/>
          <w:numId w:val="15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掌握不同类型的电子签名及其法律效力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教学评价：</w:t>
      </w:r>
    </w:p>
    <w:p w:rsidR="007F1691" w:rsidRPr="007F1691" w:rsidRDefault="007F1691" w:rsidP="007F1691">
      <w:pPr>
        <w:pStyle w:val="Session"/>
        <w:numPr>
          <w:ilvl w:val="0"/>
          <w:numId w:val="16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分析电子合同案例，判断合同有效性</w:t>
      </w:r>
    </w:p>
    <w:p w:rsidR="007F1691" w:rsidRPr="007F1691" w:rsidRDefault="007F1691" w:rsidP="007F1691">
      <w:pPr>
        <w:pStyle w:val="Session"/>
        <w:numPr>
          <w:ilvl w:val="0"/>
          <w:numId w:val="16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进行电子签名实践，探讨实际问题和解决方法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>
        <w:rPr>
          <w:rFonts w:ascii="宋体" w:hAnsi="宋体" w:hint="eastAsia"/>
          <w:b w:val="0"/>
        </w:rPr>
        <w:t xml:space="preserve"> 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  <w:bCs/>
        </w:rPr>
      </w:pPr>
      <w:r w:rsidRPr="007F1691">
        <w:rPr>
          <w:rFonts w:ascii="宋体" w:hAnsi="宋体"/>
          <w:b w:val="0"/>
          <w:bCs/>
        </w:rPr>
        <w:t>第三章：知识产权保护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主要内容：</w:t>
      </w:r>
    </w:p>
    <w:p w:rsidR="007F1691" w:rsidRPr="007F1691" w:rsidRDefault="007F1691" w:rsidP="007F1691">
      <w:pPr>
        <w:pStyle w:val="Session"/>
        <w:numPr>
          <w:ilvl w:val="0"/>
          <w:numId w:val="17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lastRenderedPageBreak/>
        <w:t>商标、版权和专利在电子商务中的作用</w:t>
      </w:r>
    </w:p>
    <w:p w:rsidR="007F1691" w:rsidRPr="007F1691" w:rsidRDefault="007F1691" w:rsidP="007F1691">
      <w:pPr>
        <w:pStyle w:val="Session"/>
        <w:numPr>
          <w:ilvl w:val="0"/>
          <w:numId w:val="17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网络知识产权侵权问题和解决方法</w:t>
      </w:r>
    </w:p>
    <w:p w:rsidR="007F1691" w:rsidRPr="007F1691" w:rsidRDefault="007F1691" w:rsidP="007F1691">
      <w:pPr>
        <w:pStyle w:val="Session"/>
        <w:numPr>
          <w:ilvl w:val="0"/>
          <w:numId w:val="17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数字内容的知识产权法律保护策略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主要目标：</w:t>
      </w:r>
    </w:p>
    <w:p w:rsidR="007F1691" w:rsidRPr="007F1691" w:rsidRDefault="007F1691" w:rsidP="007F1691">
      <w:pPr>
        <w:pStyle w:val="Session"/>
        <w:numPr>
          <w:ilvl w:val="0"/>
          <w:numId w:val="18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了解知识产权在电子商务领域的重要性</w:t>
      </w:r>
    </w:p>
    <w:p w:rsidR="007F1691" w:rsidRPr="007F1691" w:rsidRDefault="007F1691" w:rsidP="007F1691">
      <w:pPr>
        <w:pStyle w:val="Session"/>
        <w:numPr>
          <w:ilvl w:val="0"/>
          <w:numId w:val="18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掌握知识产权保护的基本原则和方法</w:t>
      </w:r>
    </w:p>
    <w:p w:rsidR="007F1691" w:rsidRPr="007F1691" w:rsidRDefault="007F1691" w:rsidP="007F1691">
      <w:pPr>
        <w:pStyle w:val="Session"/>
        <w:numPr>
          <w:ilvl w:val="0"/>
          <w:numId w:val="18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能够制定数字内容的知识产权保护策略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教学重难点：</w:t>
      </w:r>
    </w:p>
    <w:p w:rsidR="007F1691" w:rsidRPr="007F1691" w:rsidRDefault="007F1691" w:rsidP="007F1691">
      <w:pPr>
        <w:pStyle w:val="Session"/>
        <w:numPr>
          <w:ilvl w:val="0"/>
          <w:numId w:val="19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理解数字内容的知识产权保护策略的实际操作</w:t>
      </w:r>
    </w:p>
    <w:p w:rsidR="007F1691" w:rsidRPr="007F1691" w:rsidRDefault="007F1691" w:rsidP="007F1691">
      <w:pPr>
        <w:pStyle w:val="Session"/>
        <w:numPr>
          <w:ilvl w:val="0"/>
          <w:numId w:val="19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分析网络知识产权侵权案例，判断侵权行为和解决方案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教学评价：</w:t>
      </w:r>
    </w:p>
    <w:p w:rsidR="007F1691" w:rsidRPr="007F1691" w:rsidRDefault="007F1691" w:rsidP="007F1691">
      <w:pPr>
        <w:pStyle w:val="Session"/>
        <w:numPr>
          <w:ilvl w:val="0"/>
          <w:numId w:val="20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模拟商标侵权案例，制定保护策略</w:t>
      </w:r>
    </w:p>
    <w:p w:rsidR="007F1691" w:rsidRPr="007F1691" w:rsidRDefault="007F1691" w:rsidP="007F1691">
      <w:pPr>
        <w:pStyle w:val="Session"/>
        <w:numPr>
          <w:ilvl w:val="0"/>
          <w:numId w:val="20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分析数字内容侵权案例，提出法律解决方案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>
        <w:rPr>
          <w:rFonts w:ascii="宋体" w:hAnsi="宋体" w:hint="eastAsia"/>
          <w:b w:val="0"/>
        </w:rPr>
        <w:t xml:space="preserve"> 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  <w:bCs/>
        </w:rPr>
      </w:pPr>
      <w:r w:rsidRPr="007F1691">
        <w:rPr>
          <w:rFonts w:ascii="宋体" w:hAnsi="宋体"/>
          <w:b w:val="0"/>
          <w:bCs/>
        </w:rPr>
        <w:t>第四章：消费者权益保护法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主要内容：</w:t>
      </w:r>
    </w:p>
    <w:p w:rsidR="007F1691" w:rsidRPr="007F1691" w:rsidRDefault="007F1691" w:rsidP="007F1691">
      <w:pPr>
        <w:pStyle w:val="Session"/>
        <w:numPr>
          <w:ilvl w:val="0"/>
          <w:numId w:val="21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消费者权益保护法在电子商务中的适用</w:t>
      </w:r>
    </w:p>
    <w:p w:rsidR="007F1691" w:rsidRPr="007F1691" w:rsidRDefault="007F1691" w:rsidP="007F1691">
      <w:pPr>
        <w:pStyle w:val="Session"/>
        <w:numPr>
          <w:ilvl w:val="0"/>
          <w:numId w:val="21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网络购物消费者权益和维权渠道</w:t>
      </w:r>
    </w:p>
    <w:p w:rsidR="007F1691" w:rsidRPr="007F1691" w:rsidRDefault="007F1691" w:rsidP="007F1691">
      <w:pPr>
        <w:pStyle w:val="Session"/>
        <w:numPr>
          <w:ilvl w:val="0"/>
          <w:numId w:val="21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不正当竞争、虚假广告等问题与法律对应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主要目标：</w:t>
      </w:r>
    </w:p>
    <w:p w:rsidR="007F1691" w:rsidRPr="007F1691" w:rsidRDefault="007F1691" w:rsidP="007F1691">
      <w:pPr>
        <w:pStyle w:val="Session"/>
        <w:numPr>
          <w:ilvl w:val="0"/>
          <w:numId w:val="22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了解消费者权益保护法在电子商务中的作用</w:t>
      </w:r>
    </w:p>
    <w:p w:rsidR="007F1691" w:rsidRPr="007F1691" w:rsidRDefault="007F1691" w:rsidP="007F1691">
      <w:pPr>
        <w:pStyle w:val="Session"/>
        <w:numPr>
          <w:ilvl w:val="0"/>
          <w:numId w:val="22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掌握网络购物消费者权益保护和维权方法</w:t>
      </w:r>
    </w:p>
    <w:p w:rsidR="007F1691" w:rsidRPr="007F1691" w:rsidRDefault="007F1691" w:rsidP="007F1691">
      <w:pPr>
        <w:pStyle w:val="Session"/>
        <w:numPr>
          <w:ilvl w:val="0"/>
          <w:numId w:val="22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理解不正当竞争和虚假广告等法律问题的应对策略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教学重难点：</w:t>
      </w:r>
    </w:p>
    <w:p w:rsidR="007F1691" w:rsidRPr="007F1691" w:rsidRDefault="007F1691" w:rsidP="007F1691">
      <w:pPr>
        <w:pStyle w:val="Session"/>
        <w:numPr>
          <w:ilvl w:val="0"/>
          <w:numId w:val="23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分析虚假广告案例，判断不正当竞争行为</w:t>
      </w:r>
    </w:p>
    <w:p w:rsidR="007F1691" w:rsidRPr="007F1691" w:rsidRDefault="007F1691" w:rsidP="007F1691">
      <w:pPr>
        <w:pStyle w:val="Session"/>
        <w:numPr>
          <w:ilvl w:val="0"/>
          <w:numId w:val="23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lastRenderedPageBreak/>
        <w:t>探讨网络购物纠纷的解决渠道和法律程序</w:t>
      </w:r>
    </w:p>
    <w:p w:rsidR="007F1691" w:rsidRPr="007F1691" w:rsidRDefault="007F1691" w:rsidP="007F1691">
      <w:pPr>
        <w:pStyle w:val="Session"/>
        <w:rPr>
          <w:rFonts w:ascii="宋体" w:hAnsi="宋体"/>
          <w:b w:val="0"/>
        </w:rPr>
      </w:pPr>
      <w:r w:rsidRPr="007F1691">
        <w:rPr>
          <w:rFonts w:ascii="宋体" w:hAnsi="宋体"/>
          <w:b w:val="0"/>
          <w:bCs/>
        </w:rPr>
        <w:t>教学评价：</w:t>
      </w:r>
    </w:p>
    <w:p w:rsidR="007F1691" w:rsidRPr="007F1691" w:rsidRDefault="007F1691" w:rsidP="007F1691">
      <w:pPr>
        <w:pStyle w:val="Session"/>
        <w:numPr>
          <w:ilvl w:val="0"/>
          <w:numId w:val="24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模拟消费者维权案例，角色扮演并解决问题</w:t>
      </w:r>
    </w:p>
    <w:p w:rsidR="007F1691" w:rsidRPr="007F1691" w:rsidRDefault="007F1691" w:rsidP="007F1691">
      <w:pPr>
        <w:pStyle w:val="Session"/>
        <w:numPr>
          <w:ilvl w:val="0"/>
          <w:numId w:val="24"/>
        </w:numPr>
        <w:tabs>
          <w:tab w:val="left" w:pos="720"/>
        </w:tabs>
        <w:rPr>
          <w:rFonts w:ascii="宋体" w:hAnsi="宋体"/>
          <w:b w:val="0"/>
        </w:rPr>
      </w:pPr>
      <w:r w:rsidRPr="007F1691">
        <w:rPr>
          <w:rFonts w:ascii="宋体" w:hAnsi="宋体"/>
          <w:b w:val="0"/>
        </w:rPr>
        <w:t>提交消费者维权方案，解决网络购物纠纷问题</w:t>
      </w:r>
    </w:p>
    <w:p w:rsidR="007F1691" w:rsidRPr="007F1691" w:rsidRDefault="007F1691" w:rsidP="007F1691">
      <w:pPr>
        <w:pStyle w:val="Session"/>
        <w:rPr>
          <w:b w:val="0"/>
          <w:bCs/>
        </w:rPr>
      </w:pPr>
      <w:r w:rsidRPr="007F1691">
        <w:rPr>
          <w:b w:val="0"/>
          <w:bCs/>
        </w:rPr>
        <w:t>第五章：互联网隐私法与数据保护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主要内容：</w:t>
      </w:r>
    </w:p>
    <w:p w:rsidR="007F1691" w:rsidRPr="007F1691" w:rsidRDefault="007F1691" w:rsidP="007F1691">
      <w:pPr>
        <w:pStyle w:val="Session"/>
        <w:numPr>
          <w:ilvl w:val="0"/>
          <w:numId w:val="25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个人信息保护法律规定</w:t>
      </w:r>
    </w:p>
    <w:p w:rsidR="007F1691" w:rsidRPr="007F1691" w:rsidRDefault="007F1691" w:rsidP="007F1691">
      <w:pPr>
        <w:pStyle w:val="Session"/>
        <w:numPr>
          <w:ilvl w:val="0"/>
          <w:numId w:val="25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互联网隐私保护的挑战和解决方案</w:t>
      </w:r>
    </w:p>
    <w:p w:rsidR="007F1691" w:rsidRPr="007F1691" w:rsidRDefault="007F1691" w:rsidP="007F1691">
      <w:pPr>
        <w:pStyle w:val="Session"/>
        <w:numPr>
          <w:ilvl w:val="0"/>
          <w:numId w:val="25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跨境数据流动和合规问题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主要目标：</w:t>
      </w:r>
    </w:p>
    <w:p w:rsidR="007F1691" w:rsidRPr="007F1691" w:rsidRDefault="007F1691" w:rsidP="007F1691">
      <w:pPr>
        <w:pStyle w:val="Session"/>
        <w:numPr>
          <w:ilvl w:val="0"/>
          <w:numId w:val="26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理解个人信息保护的法律框架和原则</w:t>
      </w:r>
    </w:p>
    <w:p w:rsidR="007F1691" w:rsidRPr="007F1691" w:rsidRDefault="007F1691" w:rsidP="007F1691">
      <w:pPr>
        <w:pStyle w:val="Session"/>
        <w:numPr>
          <w:ilvl w:val="0"/>
          <w:numId w:val="26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掌握互联网隐私保护策略和合规措施</w:t>
      </w:r>
    </w:p>
    <w:p w:rsidR="007F1691" w:rsidRPr="007F1691" w:rsidRDefault="007F1691" w:rsidP="007F1691">
      <w:pPr>
        <w:pStyle w:val="Session"/>
        <w:numPr>
          <w:ilvl w:val="0"/>
          <w:numId w:val="26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了解跨境数据流动和合规问题的应对方法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教学重难点：</w:t>
      </w:r>
    </w:p>
    <w:p w:rsidR="007F1691" w:rsidRPr="007F1691" w:rsidRDefault="007F1691" w:rsidP="007F1691">
      <w:pPr>
        <w:pStyle w:val="Session"/>
        <w:numPr>
          <w:ilvl w:val="0"/>
          <w:numId w:val="27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探讨个人信息保护和隐私法律的适用范围</w:t>
      </w:r>
    </w:p>
    <w:p w:rsidR="007F1691" w:rsidRPr="007F1691" w:rsidRDefault="007F1691" w:rsidP="007F1691">
      <w:pPr>
        <w:pStyle w:val="Session"/>
        <w:numPr>
          <w:ilvl w:val="0"/>
          <w:numId w:val="27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分析互联网隐私保护挑战，如何平衡隐私与业务需求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教学评价：</w:t>
      </w:r>
    </w:p>
    <w:p w:rsidR="007F1691" w:rsidRPr="007F1691" w:rsidRDefault="007F1691" w:rsidP="007F1691">
      <w:pPr>
        <w:pStyle w:val="Session"/>
        <w:numPr>
          <w:ilvl w:val="0"/>
          <w:numId w:val="28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设计个人信息保护方案，满足合规要求</w:t>
      </w:r>
    </w:p>
    <w:p w:rsidR="007F1691" w:rsidRPr="007F1691" w:rsidRDefault="007F1691" w:rsidP="007F1691">
      <w:pPr>
        <w:pStyle w:val="Session"/>
        <w:numPr>
          <w:ilvl w:val="0"/>
          <w:numId w:val="28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分析跨境数据流动案例，提出法律风险和解决方案</w:t>
      </w:r>
    </w:p>
    <w:p w:rsidR="007F1691" w:rsidRPr="007F1691" w:rsidRDefault="007F1691" w:rsidP="007F1691">
      <w:pPr>
        <w:pStyle w:val="Session"/>
        <w:rPr>
          <w:b w:val="0"/>
        </w:rPr>
      </w:pPr>
      <w:r>
        <w:rPr>
          <w:rFonts w:hint="eastAsia"/>
          <w:b w:val="0"/>
        </w:rPr>
        <w:t xml:space="preserve"> </w:t>
      </w:r>
    </w:p>
    <w:p w:rsidR="007F1691" w:rsidRPr="007F1691" w:rsidRDefault="007F1691" w:rsidP="007F1691">
      <w:pPr>
        <w:pStyle w:val="Session"/>
        <w:rPr>
          <w:b w:val="0"/>
          <w:bCs/>
        </w:rPr>
      </w:pPr>
      <w:r w:rsidRPr="007F1691">
        <w:rPr>
          <w:b w:val="0"/>
          <w:bCs/>
        </w:rPr>
        <w:t>第六章：跨境电子商务与国际贸易法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主要内容：</w:t>
      </w:r>
    </w:p>
    <w:p w:rsidR="007F1691" w:rsidRPr="007F1691" w:rsidRDefault="007F1691" w:rsidP="007F1691">
      <w:pPr>
        <w:pStyle w:val="Session"/>
        <w:numPr>
          <w:ilvl w:val="0"/>
          <w:numId w:val="29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跨境电子商务国际贸易法律框架</w:t>
      </w:r>
    </w:p>
    <w:p w:rsidR="007F1691" w:rsidRPr="007F1691" w:rsidRDefault="007F1691" w:rsidP="007F1691">
      <w:pPr>
        <w:pStyle w:val="Session"/>
        <w:numPr>
          <w:ilvl w:val="0"/>
          <w:numId w:val="29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WTO</w:t>
      </w:r>
      <w:r w:rsidRPr="007F1691">
        <w:rPr>
          <w:b w:val="0"/>
        </w:rPr>
        <w:t>规则与电子商务的关系</w:t>
      </w:r>
    </w:p>
    <w:p w:rsidR="007F1691" w:rsidRPr="007F1691" w:rsidRDefault="007F1691" w:rsidP="007F1691">
      <w:pPr>
        <w:pStyle w:val="Session"/>
        <w:numPr>
          <w:ilvl w:val="0"/>
          <w:numId w:val="29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跨境电子商务税务和关税问题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lastRenderedPageBreak/>
        <w:t>主要目标：</w:t>
      </w:r>
    </w:p>
    <w:p w:rsidR="007F1691" w:rsidRPr="007F1691" w:rsidRDefault="007F1691" w:rsidP="007F1691">
      <w:pPr>
        <w:pStyle w:val="Session"/>
        <w:numPr>
          <w:ilvl w:val="0"/>
          <w:numId w:val="30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了解跨境电子商务与国际贸易法的关系</w:t>
      </w:r>
    </w:p>
    <w:p w:rsidR="007F1691" w:rsidRPr="007F1691" w:rsidRDefault="007F1691" w:rsidP="007F1691">
      <w:pPr>
        <w:pStyle w:val="Session"/>
        <w:numPr>
          <w:ilvl w:val="0"/>
          <w:numId w:val="30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掌握</w:t>
      </w:r>
      <w:r w:rsidRPr="007F1691">
        <w:rPr>
          <w:b w:val="0"/>
        </w:rPr>
        <w:t>WTO</w:t>
      </w:r>
      <w:r w:rsidRPr="007F1691">
        <w:rPr>
          <w:b w:val="0"/>
        </w:rPr>
        <w:t>规则对电子商务的影响</w:t>
      </w:r>
    </w:p>
    <w:p w:rsidR="007F1691" w:rsidRPr="007F1691" w:rsidRDefault="007F1691" w:rsidP="007F1691">
      <w:pPr>
        <w:pStyle w:val="Session"/>
        <w:numPr>
          <w:ilvl w:val="0"/>
          <w:numId w:val="30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理解跨境电子商务税务问题和应对方法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教学重难点：</w:t>
      </w:r>
    </w:p>
    <w:p w:rsidR="007F1691" w:rsidRPr="007F1691" w:rsidRDefault="007F1691" w:rsidP="007F1691">
      <w:pPr>
        <w:pStyle w:val="Session"/>
        <w:numPr>
          <w:ilvl w:val="0"/>
          <w:numId w:val="31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分析跨境电子商务的法律挑战，如何遵循国际贸易法规</w:t>
      </w:r>
    </w:p>
    <w:p w:rsidR="007F1691" w:rsidRPr="007F1691" w:rsidRDefault="007F1691" w:rsidP="007F1691">
      <w:pPr>
        <w:pStyle w:val="Session"/>
        <w:numPr>
          <w:ilvl w:val="0"/>
          <w:numId w:val="31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探讨跨境电子商务税收问题和跨国业务的合规性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教学评价：</w:t>
      </w:r>
    </w:p>
    <w:p w:rsidR="007F1691" w:rsidRPr="007F1691" w:rsidRDefault="007F1691" w:rsidP="007F1691">
      <w:pPr>
        <w:pStyle w:val="Session"/>
        <w:numPr>
          <w:ilvl w:val="0"/>
          <w:numId w:val="32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模拟跨境电子商务贸易案例，解决法律和税务问题</w:t>
      </w:r>
    </w:p>
    <w:p w:rsidR="007F1691" w:rsidRPr="007F1691" w:rsidRDefault="007F1691" w:rsidP="007F1691">
      <w:pPr>
        <w:pStyle w:val="Session"/>
        <w:numPr>
          <w:ilvl w:val="0"/>
          <w:numId w:val="32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提交关于国际贸易法与电子商务的研究报告</w:t>
      </w:r>
    </w:p>
    <w:p w:rsidR="007F1691" w:rsidRPr="007F1691" w:rsidRDefault="007F1691" w:rsidP="007F1691">
      <w:pPr>
        <w:pStyle w:val="Session"/>
        <w:rPr>
          <w:b w:val="0"/>
        </w:rPr>
      </w:pPr>
      <w:r>
        <w:rPr>
          <w:rFonts w:hint="eastAsia"/>
          <w:b w:val="0"/>
        </w:rPr>
        <w:t xml:space="preserve"> </w:t>
      </w:r>
    </w:p>
    <w:p w:rsidR="007F1691" w:rsidRPr="007F1691" w:rsidRDefault="007F1691" w:rsidP="007F1691">
      <w:pPr>
        <w:pStyle w:val="Session"/>
        <w:rPr>
          <w:b w:val="0"/>
          <w:bCs/>
        </w:rPr>
      </w:pPr>
      <w:r w:rsidRPr="007F1691">
        <w:rPr>
          <w:b w:val="0"/>
          <w:bCs/>
        </w:rPr>
        <w:t>第七章：网络支付与金融法律问题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主要内容：</w:t>
      </w:r>
    </w:p>
    <w:p w:rsidR="007F1691" w:rsidRPr="007F1691" w:rsidRDefault="007F1691" w:rsidP="007F1691">
      <w:pPr>
        <w:pStyle w:val="Session"/>
        <w:numPr>
          <w:ilvl w:val="0"/>
          <w:numId w:val="33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电子支付和数字货币的法律规定</w:t>
      </w:r>
    </w:p>
    <w:p w:rsidR="007F1691" w:rsidRPr="007F1691" w:rsidRDefault="007F1691" w:rsidP="007F1691">
      <w:pPr>
        <w:pStyle w:val="Session"/>
        <w:numPr>
          <w:ilvl w:val="0"/>
          <w:numId w:val="33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金融科技对电子商务的影响</w:t>
      </w:r>
    </w:p>
    <w:p w:rsidR="007F1691" w:rsidRPr="007F1691" w:rsidRDefault="007F1691" w:rsidP="007F1691">
      <w:pPr>
        <w:pStyle w:val="Session"/>
        <w:numPr>
          <w:ilvl w:val="0"/>
          <w:numId w:val="33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电子商务金融法律挑战与解决方案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主要目标：</w:t>
      </w:r>
    </w:p>
    <w:p w:rsidR="007F1691" w:rsidRPr="007F1691" w:rsidRDefault="007F1691" w:rsidP="007F1691">
      <w:pPr>
        <w:pStyle w:val="Session"/>
        <w:numPr>
          <w:ilvl w:val="0"/>
          <w:numId w:val="34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掌握电子支付和数字货币的法律规定</w:t>
      </w:r>
    </w:p>
    <w:p w:rsidR="007F1691" w:rsidRPr="007F1691" w:rsidRDefault="007F1691" w:rsidP="007F1691">
      <w:pPr>
        <w:pStyle w:val="Session"/>
        <w:numPr>
          <w:ilvl w:val="0"/>
          <w:numId w:val="34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理解金融科技对电子商务的影响和挑战</w:t>
      </w:r>
    </w:p>
    <w:p w:rsidR="007F1691" w:rsidRPr="007F1691" w:rsidRDefault="007F1691" w:rsidP="007F1691">
      <w:pPr>
        <w:pStyle w:val="Session"/>
        <w:numPr>
          <w:ilvl w:val="0"/>
          <w:numId w:val="34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能够解决电子商务金融法律问题并制定解决方案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教学重难点：</w:t>
      </w:r>
    </w:p>
    <w:p w:rsidR="007F1691" w:rsidRPr="007F1691" w:rsidRDefault="007F1691" w:rsidP="007F1691">
      <w:pPr>
        <w:pStyle w:val="Session"/>
        <w:numPr>
          <w:ilvl w:val="0"/>
          <w:numId w:val="35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分析数字货币的法律地位和合规问题</w:t>
      </w:r>
    </w:p>
    <w:p w:rsidR="007F1691" w:rsidRPr="007F1691" w:rsidRDefault="007F1691" w:rsidP="007F1691">
      <w:pPr>
        <w:pStyle w:val="Session"/>
        <w:numPr>
          <w:ilvl w:val="0"/>
          <w:numId w:val="35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探讨金融科技创新与监管之间的平衡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教学评价：</w:t>
      </w:r>
    </w:p>
    <w:p w:rsidR="007F1691" w:rsidRPr="007F1691" w:rsidRDefault="007F1691" w:rsidP="007F1691">
      <w:pPr>
        <w:pStyle w:val="Session"/>
        <w:numPr>
          <w:ilvl w:val="0"/>
          <w:numId w:val="36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设计电子支付解决方案，确保法律合规性</w:t>
      </w:r>
    </w:p>
    <w:p w:rsidR="007F1691" w:rsidRPr="007F1691" w:rsidRDefault="007F1691" w:rsidP="007F1691">
      <w:pPr>
        <w:pStyle w:val="Session"/>
        <w:numPr>
          <w:ilvl w:val="0"/>
          <w:numId w:val="36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lastRenderedPageBreak/>
        <w:t>提交金融科技创新案例分析，评估法律风险和挑战</w:t>
      </w:r>
    </w:p>
    <w:p w:rsidR="007F1691" w:rsidRPr="007F1691" w:rsidRDefault="007F1691" w:rsidP="007F1691">
      <w:pPr>
        <w:pStyle w:val="Session"/>
        <w:rPr>
          <w:b w:val="0"/>
        </w:rPr>
      </w:pPr>
      <w:r>
        <w:rPr>
          <w:rFonts w:hint="eastAsia"/>
          <w:b w:val="0"/>
        </w:rPr>
        <w:t xml:space="preserve"> </w:t>
      </w:r>
    </w:p>
    <w:p w:rsidR="007F1691" w:rsidRPr="007F1691" w:rsidRDefault="007F1691" w:rsidP="007F1691">
      <w:pPr>
        <w:pStyle w:val="Session"/>
        <w:rPr>
          <w:b w:val="0"/>
          <w:bCs/>
        </w:rPr>
      </w:pPr>
      <w:r w:rsidRPr="007F1691">
        <w:rPr>
          <w:b w:val="0"/>
          <w:bCs/>
        </w:rPr>
        <w:t>第八章：电子商务诉讼与争议解决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主要内容：</w:t>
      </w:r>
    </w:p>
    <w:p w:rsidR="007F1691" w:rsidRPr="007F1691" w:rsidRDefault="007F1691" w:rsidP="007F1691">
      <w:pPr>
        <w:pStyle w:val="Session"/>
        <w:numPr>
          <w:ilvl w:val="0"/>
          <w:numId w:val="37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电子商务纠纷解决机制和法律程序</w:t>
      </w:r>
    </w:p>
    <w:p w:rsidR="007F1691" w:rsidRPr="007F1691" w:rsidRDefault="007F1691" w:rsidP="007F1691">
      <w:pPr>
        <w:pStyle w:val="Session"/>
        <w:numPr>
          <w:ilvl w:val="0"/>
          <w:numId w:val="37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线上合同纠纷解决和争议调解</w:t>
      </w:r>
    </w:p>
    <w:p w:rsidR="007F1691" w:rsidRPr="007F1691" w:rsidRDefault="007F1691" w:rsidP="007F1691">
      <w:pPr>
        <w:pStyle w:val="Session"/>
        <w:numPr>
          <w:ilvl w:val="0"/>
          <w:numId w:val="37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知识产权和商标纠纷解决策略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主要目标：</w:t>
      </w:r>
    </w:p>
    <w:p w:rsidR="007F1691" w:rsidRPr="007F1691" w:rsidRDefault="007F1691" w:rsidP="007F1691">
      <w:pPr>
        <w:pStyle w:val="Session"/>
        <w:numPr>
          <w:ilvl w:val="0"/>
          <w:numId w:val="38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理解电子商务纠纷解决机制和法律程序</w:t>
      </w:r>
    </w:p>
    <w:p w:rsidR="007F1691" w:rsidRPr="007F1691" w:rsidRDefault="007F1691" w:rsidP="007F1691">
      <w:pPr>
        <w:pStyle w:val="Session"/>
        <w:numPr>
          <w:ilvl w:val="0"/>
          <w:numId w:val="38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掌握线上合同纠纷解决和争议调解方法</w:t>
      </w:r>
    </w:p>
    <w:p w:rsidR="007F1691" w:rsidRPr="007F1691" w:rsidRDefault="007F1691" w:rsidP="007F1691">
      <w:pPr>
        <w:pStyle w:val="Session"/>
        <w:numPr>
          <w:ilvl w:val="0"/>
          <w:numId w:val="38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能够应对知识产权和商标纠纷，并制定解决策略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教学重难点：</w:t>
      </w:r>
    </w:p>
    <w:p w:rsidR="007F1691" w:rsidRPr="007F1691" w:rsidRDefault="007F1691" w:rsidP="007F1691">
      <w:pPr>
        <w:pStyle w:val="Session"/>
        <w:numPr>
          <w:ilvl w:val="0"/>
          <w:numId w:val="39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分析电子商务纠纷案例，选择合适的解决方法</w:t>
      </w:r>
    </w:p>
    <w:p w:rsidR="007F1691" w:rsidRPr="007F1691" w:rsidRDefault="007F1691" w:rsidP="007F1691">
      <w:pPr>
        <w:pStyle w:val="Session"/>
        <w:numPr>
          <w:ilvl w:val="0"/>
          <w:numId w:val="39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探讨知识产权保护和商标纠纷解决的实际操作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教学评价：</w:t>
      </w:r>
    </w:p>
    <w:p w:rsidR="007F1691" w:rsidRPr="007F1691" w:rsidRDefault="007F1691" w:rsidP="007F1691">
      <w:pPr>
        <w:pStyle w:val="Session"/>
        <w:numPr>
          <w:ilvl w:val="0"/>
          <w:numId w:val="40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模拟电子商务纠纷案例，进行争议解决模拟演练</w:t>
      </w:r>
    </w:p>
    <w:p w:rsidR="007F1691" w:rsidRPr="007F1691" w:rsidRDefault="007F1691" w:rsidP="007F1691">
      <w:pPr>
        <w:pStyle w:val="Session"/>
        <w:numPr>
          <w:ilvl w:val="0"/>
          <w:numId w:val="40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提交知识产权和商标纠纷解决方案报告</w:t>
      </w:r>
    </w:p>
    <w:p w:rsidR="007F1691" w:rsidRPr="007F1691" w:rsidRDefault="007F1691" w:rsidP="007F1691">
      <w:pPr>
        <w:pStyle w:val="Session"/>
        <w:rPr>
          <w:b w:val="0"/>
        </w:rPr>
      </w:pPr>
      <w:r>
        <w:rPr>
          <w:rFonts w:hint="eastAsia"/>
          <w:b w:val="0"/>
        </w:rPr>
        <w:t xml:space="preserve"> </w:t>
      </w:r>
    </w:p>
    <w:p w:rsidR="007F1691" w:rsidRPr="007F1691" w:rsidRDefault="007F1691" w:rsidP="007F1691">
      <w:pPr>
        <w:pStyle w:val="Session"/>
        <w:rPr>
          <w:b w:val="0"/>
          <w:bCs/>
        </w:rPr>
      </w:pPr>
      <w:r w:rsidRPr="007F1691">
        <w:rPr>
          <w:b w:val="0"/>
          <w:bCs/>
        </w:rPr>
        <w:t>第九章：新兴技术与电子商务法律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主要内容：</w:t>
      </w:r>
    </w:p>
    <w:p w:rsidR="007F1691" w:rsidRPr="007F1691" w:rsidRDefault="007F1691" w:rsidP="007F1691">
      <w:pPr>
        <w:pStyle w:val="Session"/>
        <w:numPr>
          <w:ilvl w:val="0"/>
          <w:numId w:val="41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人工智能、区块链等新技术对电子商务法的影响</w:t>
      </w:r>
    </w:p>
    <w:p w:rsidR="007F1691" w:rsidRPr="007F1691" w:rsidRDefault="007F1691" w:rsidP="007F1691">
      <w:pPr>
        <w:pStyle w:val="Session"/>
        <w:numPr>
          <w:ilvl w:val="0"/>
          <w:numId w:val="41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监管科技发展的法律挑战</w:t>
      </w:r>
    </w:p>
    <w:p w:rsidR="007F1691" w:rsidRPr="007F1691" w:rsidRDefault="007F1691" w:rsidP="007F1691">
      <w:pPr>
        <w:pStyle w:val="Session"/>
        <w:numPr>
          <w:ilvl w:val="0"/>
          <w:numId w:val="41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制定合适的法律策略应对新技术发展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主要目标：</w:t>
      </w:r>
    </w:p>
    <w:p w:rsidR="007F1691" w:rsidRPr="007F1691" w:rsidRDefault="007F1691" w:rsidP="007F1691">
      <w:pPr>
        <w:pStyle w:val="Session"/>
        <w:numPr>
          <w:ilvl w:val="0"/>
          <w:numId w:val="42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了解新兴技术对电子商务法的影响和挑战</w:t>
      </w:r>
    </w:p>
    <w:p w:rsidR="007F1691" w:rsidRPr="007F1691" w:rsidRDefault="007F1691" w:rsidP="007F1691">
      <w:pPr>
        <w:pStyle w:val="Session"/>
        <w:numPr>
          <w:ilvl w:val="0"/>
          <w:numId w:val="42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lastRenderedPageBreak/>
        <w:t>掌握制定法律策略应对新技术发展的方法</w:t>
      </w:r>
    </w:p>
    <w:p w:rsidR="007F1691" w:rsidRPr="007F1691" w:rsidRDefault="007F1691" w:rsidP="007F1691">
      <w:pPr>
        <w:pStyle w:val="Session"/>
        <w:numPr>
          <w:ilvl w:val="0"/>
          <w:numId w:val="42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能够解读新技术领域的法律问题并提出解决方案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教学重难点：</w:t>
      </w:r>
    </w:p>
    <w:p w:rsidR="007F1691" w:rsidRPr="007F1691" w:rsidRDefault="007F1691" w:rsidP="007F1691">
      <w:pPr>
        <w:pStyle w:val="Session"/>
        <w:numPr>
          <w:ilvl w:val="0"/>
          <w:numId w:val="43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分析新技术对法律框架的冲击，如何平衡技术创新与法律规制</w:t>
      </w:r>
    </w:p>
    <w:p w:rsidR="007F1691" w:rsidRPr="007F1691" w:rsidRDefault="007F1691" w:rsidP="007F1691">
      <w:pPr>
        <w:pStyle w:val="Session"/>
        <w:numPr>
          <w:ilvl w:val="0"/>
          <w:numId w:val="43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探讨人工智能和区块链的法律治理问题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  <w:bCs/>
        </w:rPr>
        <w:t>教学评价：</w:t>
      </w:r>
    </w:p>
    <w:p w:rsidR="007F1691" w:rsidRPr="007F1691" w:rsidRDefault="007F1691" w:rsidP="007F1691">
      <w:pPr>
        <w:pStyle w:val="Session"/>
        <w:numPr>
          <w:ilvl w:val="0"/>
          <w:numId w:val="44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提交新兴技术与法律应用的研究报告</w:t>
      </w:r>
    </w:p>
    <w:p w:rsidR="007F1691" w:rsidRPr="007F1691" w:rsidRDefault="007F1691" w:rsidP="007F1691">
      <w:pPr>
        <w:pStyle w:val="Session"/>
        <w:numPr>
          <w:ilvl w:val="0"/>
          <w:numId w:val="44"/>
        </w:numPr>
        <w:tabs>
          <w:tab w:val="left" w:pos="720"/>
        </w:tabs>
        <w:rPr>
          <w:b w:val="0"/>
        </w:rPr>
      </w:pPr>
      <w:r w:rsidRPr="007F1691">
        <w:rPr>
          <w:b w:val="0"/>
        </w:rPr>
        <w:t>分析人工智能和区块链技术案例，制定法律治理方案</w:t>
      </w:r>
    </w:p>
    <w:p w:rsidR="007F1691" w:rsidRPr="007F1691" w:rsidRDefault="007F1691" w:rsidP="007F1691">
      <w:pPr>
        <w:pStyle w:val="Session"/>
        <w:rPr>
          <w:b w:val="0"/>
        </w:rPr>
      </w:pPr>
      <w:r w:rsidRPr="007F1691">
        <w:rPr>
          <w:b w:val="0"/>
        </w:rPr>
        <w:t>通过以上的分章节教学计划，学生将在电子商务法领域获得丰富的知识和实践经验，培养其在实际业务中遵守法律规定和解决法律问题的能力。同时，通过教学重难点和教学评价的设计，可以帮助学生深入理解课程内容，培养分析和解决问题的能力。</w:t>
      </w:r>
    </w:p>
    <w:p w:rsidR="005B7506" w:rsidRPr="007F1691" w:rsidRDefault="005B7506" w:rsidP="007F1691">
      <w:pPr>
        <w:pStyle w:val="Session"/>
        <w:rPr>
          <w:color w:val="auto"/>
        </w:rPr>
      </w:pPr>
    </w:p>
    <w:p w:rsidR="00061B0A" w:rsidRDefault="0096218C" w:rsidP="005B7506">
      <w:pPr>
        <w:widowControl/>
        <w:spacing w:beforeLines="50" w:before="156" w:afterLines="50" w:after="156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061B0A" w:rsidRDefault="0096218C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3278"/>
        <w:gridCol w:w="2253"/>
      </w:tblGrid>
      <w:tr w:rsidR="00061B0A">
        <w:trPr>
          <w:trHeight w:val="340"/>
          <w:jc w:val="center"/>
        </w:trPr>
        <w:tc>
          <w:tcPr>
            <w:tcW w:w="2765" w:type="dxa"/>
            <w:vAlign w:val="center"/>
          </w:tcPr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3278" w:type="dxa"/>
            <w:vAlign w:val="center"/>
          </w:tcPr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253" w:type="dxa"/>
            <w:vAlign w:val="center"/>
          </w:tcPr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812C05" w:rsidTr="00EF5476">
        <w:trPr>
          <w:trHeight w:val="340"/>
          <w:jc w:val="center"/>
        </w:trPr>
        <w:tc>
          <w:tcPr>
            <w:tcW w:w="2765" w:type="dxa"/>
            <w:vAlign w:val="bottom"/>
          </w:tcPr>
          <w:p w:rsidR="00812C05" w:rsidRPr="00812C05" w:rsidRDefault="00812C05" w:rsidP="00812C05">
            <w:pPr>
              <w:widowControl/>
              <w:jc w:val="left"/>
              <w:rPr>
                <w:rFonts w:ascii="宋体" w:eastAsia="宋体" w:hAnsi="宋体" w:cs="Segoe UI"/>
                <w:color w:val="374151"/>
                <w:kern w:val="0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1</w:t>
            </w:r>
          </w:p>
        </w:tc>
        <w:tc>
          <w:tcPr>
            <w:tcW w:w="3278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课程介绍和导论</w:t>
            </w:r>
          </w:p>
        </w:tc>
        <w:tc>
          <w:tcPr>
            <w:tcW w:w="2253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2</w:t>
            </w:r>
          </w:p>
        </w:tc>
      </w:tr>
      <w:tr w:rsidR="00812C05" w:rsidTr="00EF5476">
        <w:trPr>
          <w:trHeight w:val="340"/>
          <w:jc w:val="center"/>
        </w:trPr>
        <w:tc>
          <w:tcPr>
            <w:tcW w:w="2765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2</w:t>
            </w:r>
          </w:p>
        </w:tc>
        <w:tc>
          <w:tcPr>
            <w:tcW w:w="3278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电子商务法基础概念</w:t>
            </w:r>
          </w:p>
        </w:tc>
        <w:tc>
          <w:tcPr>
            <w:tcW w:w="2253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3</w:t>
            </w:r>
          </w:p>
        </w:tc>
      </w:tr>
      <w:tr w:rsidR="00812C05" w:rsidTr="00EF5476">
        <w:trPr>
          <w:trHeight w:val="340"/>
          <w:jc w:val="center"/>
        </w:trPr>
        <w:tc>
          <w:tcPr>
            <w:tcW w:w="2765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3</w:t>
            </w:r>
          </w:p>
        </w:tc>
        <w:tc>
          <w:tcPr>
            <w:tcW w:w="3278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网络交易与合同法律问题</w:t>
            </w:r>
          </w:p>
        </w:tc>
        <w:tc>
          <w:tcPr>
            <w:tcW w:w="2253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4</w:t>
            </w:r>
          </w:p>
        </w:tc>
      </w:tr>
      <w:tr w:rsidR="00812C05" w:rsidTr="00EF5476">
        <w:trPr>
          <w:trHeight w:val="340"/>
          <w:jc w:val="center"/>
        </w:trPr>
        <w:tc>
          <w:tcPr>
            <w:tcW w:w="2765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4</w:t>
            </w:r>
          </w:p>
        </w:tc>
        <w:tc>
          <w:tcPr>
            <w:tcW w:w="3278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数字签名和电子认证</w:t>
            </w:r>
          </w:p>
        </w:tc>
        <w:tc>
          <w:tcPr>
            <w:tcW w:w="2253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3</w:t>
            </w:r>
          </w:p>
        </w:tc>
      </w:tr>
      <w:tr w:rsidR="00812C05" w:rsidTr="00EF5476">
        <w:trPr>
          <w:trHeight w:val="340"/>
          <w:jc w:val="center"/>
        </w:trPr>
        <w:tc>
          <w:tcPr>
            <w:tcW w:w="2765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5</w:t>
            </w:r>
          </w:p>
        </w:tc>
        <w:tc>
          <w:tcPr>
            <w:tcW w:w="3278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在线支付与消费者保护</w:t>
            </w:r>
          </w:p>
        </w:tc>
        <w:tc>
          <w:tcPr>
            <w:tcW w:w="2253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3</w:t>
            </w:r>
          </w:p>
        </w:tc>
      </w:tr>
      <w:tr w:rsidR="00812C05" w:rsidTr="00EF5476">
        <w:trPr>
          <w:trHeight w:val="340"/>
          <w:jc w:val="center"/>
        </w:trPr>
        <w:tc>
          <w:tcPr>
            <w:tcW w:w="2765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6</w:t>
            </w:r>
          </w:p>
        </w:tc>
        <w:tc>
          <w:tcPr>
            <w:tcW w:w="3278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电子商务隐私保护</w:t>
            </w:r>
          </w:p>
        </w:tc>
        <w:tc>
          <w:tcPr>
            <w:tcW w:w="2253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3</w:t>
            </w:r>
          </w:p>
        </w:tc>
      </w:tr>
      <w:tr w:rsidR="00812C05" w:rsidTr="00EF5476">
        <w:trPr>
          <w:trHeight w:val="340"/>
          <w:jc w:val="center"/>
        </w:trPr>
        <w:tc>
          <w:tcPr>
            <w:tcW w:w="2765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7</w:t>
            </w:r>
          </w:p>
        </w:tc>
        <w:tc>
          <w:tcPr>
            <w:tcW w:w="3278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电子商务知识产权</w:t>
            </w:r>
          </w:p>
        </w:tc>
        <w:tc>
          <w:tcPr>
            <w:tcW w:w="2253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3</w:t>
            </w:r>
          </w:p>
        </w:tc>
      </w:tr>
      <w:tr w:rsidR="00812C05" w:rsidTr="00EF5476">
        <w:trPr>
          <w:trHeight w:val="340"/>
          <w:jc w:val="center"/>
        </w:trPr>
        <w:tc>
          <w:tcPr>
            <w:tcW w:w="2765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8</w:t>
            </w:r>
          </w:p>
        </w:tc>
        <w:tc>
          <w:tcPr>
            <w:tcW w:w="3278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电子商务税务法律问题</w:t>
            </w:r>
          </w:p>
        </w:tc>
        <w:tc>
          <w:tcPr>
            <w:tcW w:w="2253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3</w:t>
            </w:r>
          </w:p>
        </w:tc>
      </w:tr>
      <w:tr w:rsidR="00812C05" w:rsidTr="00EF5476">
        <w:trPr>
          <w:trHeight w:val="340"/>
          <w:jc w:val="center"/>
        </w:trPr>
        <w:tc>
          <w:tcPr>
            <w:tcW w:w="2765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9</w:t>
            </w:r>
          </w:p>
        </w:tc>
        <w:tc>
          <w:tcPr>
            <w:tcW w:w="3278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电子商务争议解决</w:t>
            </w:r>
          </w:p>
        </w:tc>
        <w:tc>
          <w:tcPr>
            <w:tcW w:w="2253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3</w:t>
            </w:r>
          </w:p>
        </w:tc>
      </w:tr>
      <w:tr w:rsidR="00812C05" w:rsidTr="00EF5476">
        <w:trPr>
          <w:trHeight w:val="340"/>
          <w:jc w:val="center"/>
        </w:trPr>
        <w:tc>
          <w:tcPr>
            <w:tcW w:w="2765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10</w:t>
            </w:r>
          </w:p>
        </w:tc>
        <w:tc>
          <w:tcPr>
            <w:tcW w:w="3278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国际电子商务法与跨境问题</w:t>
            </w:r>
          </w:p>
        </w:tc>
        <w:tc>
          <w:tcPr>
            <w:tcW w:w="2253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3</w:t>
            </w:r>
          </w:p>
        </w:tc>
      </w:tr>
      <w:tr w:rsidR="00812C05" w:rsidTr="00EF5476">
        <w:trPr>
          <w:trHeight w:val="340"/>
          <w:jc w:val="center"/>
        </w:trPr>
        <w:tc>
          <w:tcPr>
            <w:tcW w:w="2765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11</w:t>
            </w:r>
          </w:p>
        </w:tc>
        <w:tc>
          <w:tcPr>
            <w:tcW w:w="3278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未来趋势与发展</w:t>
            </w:r>
          </w:p>
        </w:tc>
        <w:tc>
          <w:tcPr>
            <w:tcW w:w="2253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2</w:t>
            </w:r>
          </w:p>
        </w:tc>
      </w:tr>
      <w:tr w:rsidR="00812C05" w:rsidTr="00EF5476">
        <w:trPr>
          <w:trHeight w:val="340"/>
          <w:jc w:val="center"/>
        </w:trPr>
        <w:tc>
          <w:tcPr>
            <w:tcW w:w="2765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12</w:t>
            </w:r>
          </w:p>
        </w:tc>
        <w:tc>
          <w:tcPr>
            <w:tcW w:w="3278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课程总结与复习</w:t>
            </w:r>
          </w:p>
        </w:tc>
        <w:tc>
          <w:tcPr>
            <w:tcW w:w="2253" w:type="dxa"/>
            <w:vAlign w:val="bottom"/>
          </w:tcPr>
          <w:p w:rsidR="00812C05" w:rsidRPr="00812C05" w:rsidRDefault="00812C05" w:rsidP="00812C05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812C05">
              <w:rPr>
                <w:rFonts w:ascii="宋体" w:eastAsia="宋体" w:hAnsi="宋体" w:cs="Segoe UI"/>
                <w:color w:val="374151"/>
                <w:szCs w:val="21"/>
              </w:rPr>
              <w:t>2</w:t>
            </w:r>
          </w:p>
        </w:tc>
      </w:tr>
    </w:tbl>
    <w:p w:rsidR="00061B0A" w:rsidRDefault="0096218C">
      <w:pPr>
        <w:widowControl/>
        <w:numPr>
          <w:ilvl w:val="0"/>
          <w:numId w:val="3"/>
        </w:numPr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教学进度</w:t>
      </w:r>
    </w:p>
    <w:p w:rsidR="00061B0A" w:rsidRDefault="0096218C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418"/>
        <w:gridCol w:w="2126"/>
        <w:gridCol w:w="567"/>
        <w:gridCol w:w="1843"/>
        <w:gridCol w:w="504"/>
      </w:tblGrid>
      <w:tr w:rsidR="00061B0A" w:rsidRPr="005E2BD0" w:rsidTr="005B7506">
        <w:trPr>
          <w:trHeight w:val="340"/>
          <w:jc w:val="center"/>
        </w:trPr>
        <w:tc>
          <w:tcPr>
            <w:tcW w:w="1129" w:type="dxa"/>
            <w:vAlign w:val="center"/>
          </w:tcPr>
          <w:p w:rsidR="00061B0A" w:rsidRPr="005E2BD0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E2BD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周次</w:t>
            </w:r>
          </w:p>
        </w:tc>
        <w:tc>
          <w:tcPr>
            <w:tcW w:w="709" w:type="dxa"/>
            <w:vAlign w:val="center"/>
          </w:tcPr>
          <w:p w:rsidR="00061B0A" w:rsidRPr="005E2BD0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E2BD0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061B0A" w:rsidRPr="005E2BD0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E2BD0">
              <w:rPr>
                <w:rFonts w:ascii="宋体" w:eastAsia="宋体" w:hAnsi="宋体" w:hint="eastAsia"/>
                <w:sz w:val="24"/>
                <w:szCs w:val="24"/>
              </w:rPr>
              <w:t>章节名称</w:t>
            </w:r>
          </w:p>
        </w:tc>
        <w:tc>
          <w:tcPr>
            <w:tcW w:w="2126" w:type="dxa"/>
            <w:vAlign w:val="center"/>
          </w:tcPr>
          <w:p w:rsidR="00061B0A" w:rsidRPr="005E2BD0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E2BD0">
              <w:rPr>
                <w:rFonts w:ascii="宋体" w:eastAsia="宋体" w:hAnsi="宋体" w:hint="eastAsia"/>
                <w:sz w:val="24"/>
                <w:szCs w:val="24"/>
              </w:rPr>
              <w:t>内容提要</w:t>
            </w:r>
          </w:p>
        </w:tc>
        <w:tc>
          <w:tcPr>
            <w:tcW w:w="567" w:type="dxa"/>
            <w:vAlign w:val="center"/>
          </w:tcPr>
          <w:p w:rsidR="00061B0A" w:rsidRPr="005E2BD0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E2BD0">
              <w:rPr>
                <w:rFonts w:ascii="宋体" w:eastAsia="宋体" w:hAnsi="宋体" w:hint="eastAsia"/>
                <w:sz w:val="24"/>
                <w:szCs w:val="24"/>
              </w:rPr>
              <w:t>授课时数</w:t>
            </w:r>
          </w:p>
        </w:tc>
        <w:tc>
          <w:tcPr>
            <w:tcW w:w="1843" w:type="dxa"/>
            <w:vAlign w:val="center"/>
          </w:tcPr>
          <w:p w:rsidR="00061B0A" w:rsidRPr="005E2BD0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E2BD0">
              <w:rPr>
                <w:rFonts w:ascii="宋体" w:eastAsia="宋体" w:hAnsi="宋体" w:hint="eastAsia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 w:rsidR="00061B0A" w:rsidRPr="005E2BD0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E2BD0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5E2BD0" w:rsidRPr="005E2BD0" w:rsidTr="005B7506">
        <w:trPr>
          <w:trHeight w:val="340"/>
          <w:jc w:val="center"/>
        </w:trPr>
        <w:tc>
          <w:tcPr>
            <w:tcW w:w="112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E2BD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E2BD0" w:rsidRPr="005E2BD0" w:rsidRDefault="005E2BD0" w:rsidP="005E2BD0">
            <w:pPr>
              <w:widowControl/>
              <w:jc w:val="left"/>
              <w:rPr>
                <w:rFonts w:ascii="宋体" w:eastAsia="宋体" w:hAnsi="宋体" w:cs="宋体"/>
                <w:color w:val="374151"/>
                <w:kern w:val="0"/>
                <w:szCs w:val="21"/>
              </w:rPr>
            </w:pPr>
            <w:r w:rsidRPr="005E2BD0">
              <w:rPr>
                <w:rFonts w:ascii="宋体" w:eastAsia="宋体" w:hAnsi="宋体" w:hint="eastAsia"/>
                <w:color w:val="374151"/>
                <w:szCs w:val="21"/>
              </w:rPr>
              <w:t>电子商务法基础概念</w:t>
            </w:r>
          </w:p>
        </w:tc>
        <w:tc>
          <w:tcPr>
            <w:tcW w:w="2126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 w:hint="eastAsia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电子商务法的定义、发展背景</w:t>
            </w:r>
          </w:p>
        </w:tc>
        <w:tc>
          <w:tcPr>
            <w:tcW w:w="567" w:type="dxa"/>
            <w:vAlign w:val="center"/>
          </w:tcPr>
          <w:p w:rsidR="005E2BD0" w:rsidRPr="005E2BD0" w:rsidRDefault="005E2BD0" w:rsidP="005E2BD0">
            <w:pPr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5E2BD0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5E2BD0" w:rsidRPr="005E2BD0" w:rsidRDefault="005E2BD0" w:rsidP="005E2BD0">
            <w:pPr>
              <w:jc w:val="left"/>
              <w:rPr>
                <w:rFonts w:ascii="宋体" w:eastAsia="宋体" w:hAnsi="宋体" w:cs="Segoe UI" w:hint="eastAsia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基础概念讲解、案例分析</w:t>
            </w:r>
          </w:p>
        </w:tc>
        <w:tc>
          <w:tcPr>
            <w:tcW w:w="504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E2BD0" w:rsidRPr="005E2BD0" w:rsidTr="005B7506">
        <w:trPr>
          <w:trHeight w:val="340"/>
          <w:jc w:val="center"/>
        </w:trPr>
        <w:tc>
          <w:tcPr>
            <w:tcW w:w="112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E2BD0">
              <w:rPr>
                <w:rFonts w:ascii="宋体" w:eastAsia="宋体" w:hAnsi="宋体"/>
                <w:szCs w:val="21"/>
              </w:rPr>
              <w:t>2-3</w:t>
            </w:r>
          </w:p>
        </w:tc>
        <w:tc>
          <w:tcPr>
            <w:tcW w:w="70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网络交易与合同法律问题</w:t>
            </w:r>
          </w:p>
        </w:tc>
        <w:tc>
          <w:tcPr>
            <w:tcW w:w="2126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电子合同成立、合同要素</w:t>
            </w:r>
          </w:p>
        </w:tc>
        <w:tc>
          <w:tcPr>
            <w:tcW w:w="567" w:type="dxa"/>
            <w:vAlign w:val="center"/>
          </w:tcPr>
          <w:p w:rsidR="005E2BD0" w:rsidRPr="005E2BD0" w:rsidRDefault="005E2BD0" w:rsidP="005E2BD0">
            <w:pPr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5E2BD0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5E2BD0" w:rsidRPr="005E2BD0" w:rsidRDefault="005E2BD0" w:rsidP="005E2BD0">
            <w:pPr>
              <w:jc w:val="left"/>
              <w:rPr>
                <w:rFonts w:ascii="宋体" w:eastAsia="宋体" w:hAnsi="宋体" w:cs="Segoe UI" w:hint="eastAsia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合同形成要素讨论、虚拟合同案例分析</w:t>
            </w:r>
          </w:p>
        </w:tc>
        <w:tc>
          <w:tcPr>
            <w:tcW w:w="504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E2BD0" w:rsidRPr="005E2BD0" w:rsidTr="005B7506">
        <w:trPr>
          <w:trHeight w:val="340"/>
          <w:jc w:val="center"/>
        </w:trPr>
        <w:tc>
          <w:tcPr>
            <w:tcW w:w="112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E2BD0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数字签名和电子认证</w:t>
            </w:r>
          </w:p>
        </w:tc>
        <w:tc>
          <w:tcPr>
            <w:tcW w:w="2126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数字签名的法律效力、认证机制</w:t>
            </w:r>
          </w:p>
        </w:tc>
        <w:tc>
          <w:tcPr>
            <w:tcW w:w="567" w:type="dxa"/>
            <w:vAlign w:val="center"/>
          </w:tcPr>
          <w:p w:rsidR="005E2BD0" w:rsidRPr="005E2BD0" w:rsidRDefault="005E2BD0" w:rsidP="005E2BD0">
            <w:pPr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5E2BD0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5E2BD0" w:rsidRPr="005E2BD0" w:rsidRDefault="005E2BD0" w:rsidP="005E2BD0">
            <w:pPr>
              <w:jc w:val="left"/>
              <w:rPr>
                <w:rFonts w:ascii="宋体" w:eastAsia="宋体" w:hAnsi="宋体" w:cs="Segoe UI" w:hint="eastAsia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数字签名法律问题讲解、认证案例分析</w:t>
            </w:r>
          </w:p>
        </w:tc>
        <w:tc>
          <w:tcPr>
            <w:tcW w:w="504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E2BD0" w:rsidRPr="005E2BD0" w:rsidTr="005B7506">
        <w:trPr>
          <w:trHeight w:val="340"/>
          <w:jc w:val="center"/>
        </w:trPr>
        <w:tc>
          <w:tcPr>
            <w:tcW w:w="112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E2BD0">
              <w:rPr>
                <w:rFonts w:ascii="宋体" w:eastAsia="宋体" w:hAnsi="宋体"/>
                <w:szCs w:val="21"/>
              </w:rPr>
              <w:t>5-6</w:t>
            </w:r>
          </w:p>
        </w:tc>
        <w:tc>
          <w:tcPr>
            <w:tcW w:w="70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在线支付与消费者保护</w:t>
            </w:r>
          </w:p>
        </w:tc>
        <w:tc>
          <w:tcPr>
            <w:tcW w:w="2126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在线支付安全、消费者权益保护</w:t>
            </w:r>
          </w:p>
        </w:tc>
        <w:tc>
          <w:tcPr>
            <w:tcW w:w="567" w:type="dxa"/>
            <w:vAlign w:val="center"/>
          </w:tcPr>
          <w:p w:rsidR="005E2BD0" w:rsidRPr="005E2BD0" w:rsidRDefault="005E2BD0" w:rsidP="005E2BD0">
            <w:pPr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5E2BD0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5E2BD0" w:rsidRPr="005E2BD0" w:rsidRDefault="005E2BD0" w:rsidP="005E2BD0">
            <w:pPr>
              <w:jc w:val="left"/>
              <w:rPr>
                <w:rFonts w:ascii="宋体" w:eastAsia="宋体" w:hAnsi="宋体" w:cs="Segoe UI" w:hint="eastAsia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在线支付安全讨论、消费者权益案例分析</w:t>
            </w:r>
          </w:p>
        </w:tc>
        <w:tc>
          <w:tcPr>
            <w:tcW w:w="504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E2BD0" w:rsidRPr="005E2BD0" w:rsidTr="005B7506">
        <w:trPr>
          <w:trHeight w:val="340"/>
          <w:jc w:val="center"/>
        </w:trPr>
        <w:tc>
          <w:tcPr>
            <w:tcW w:w="112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E2BD0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电子商务隐私保护</w:t>
            </w:r>
          </w:p>
        </w:tc>
        <w:tc>
          <w:tcPr>
            <w:tcW w:w="2126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隐私保护法律框架、个人信息收集</w:t>
            </w:r>
          </w:p>
        </w:tc>
        <w:tc>
          <w:tcPr>
            <w:tcW w:w="567" w:type="dxa"/>
            <w:vAlign w:val="center"/>
          </w:tcPr>
          <w:p w:rsidR="005E2BD0" w:rsidRPr="005E2BD0" w:rsidRDefault="005E2BD0" w:rsidP="005E2BD0">
            <w:pPr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5E2BD0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5E2BD0" w:rsidRPr="005E2BD0" w:rsidRDefault="005E2BD0" w:rsidP="005E2BD0">
            <w:pPr>
              <w:jc w:val="left"/>
              <w:rPr>
                <w:rFonts w:ascii="宋体" w:eastAsia="宋体" w:hAnsi="宋体" w:cs="Segoe UI" w:hint="eastAsia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隐私法律问题解释、个人信息收集讨论</w:t>
            </w:r>
          </w:p>
        </w:tc>
        <w:tc>
          <w:tcPr>
            <w:tcW w:w="504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E2BD0" w:rsidRPr="005E2BD0" w:rsidTr="005B7506">
        <w:trPr>
          <w:trHeight w:val="340"/>
          <w:jc w:val="center"/>
        </w:trPr>
        <w:tc>
          <w:tcPr>
            <w:tcW w:w="112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E2BD0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电子商务知识产权</w:t>
            </w:r>
          </w:p>
        </w:tc>
        <w:tc>
          <w:tcPr>
            <w:tcW w:w="2126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版权、商标、专利保护</w:t>
            </w:r>
          </w:p>
        </w:tc>
        <w:tc>
          <w:tcPr>
            <w:tcW w:w="567" w:type="dxa"/>
            <w:vAlign w:val="center"/>
          </w:tcPr>
          <w:p w:rsidR="005E2BD0" w:rsidRPr="005E2BD0" w:rsidRDefault="005E2BD0" w:rsidP="005E2BD0">
            <w:pPr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5E2BD0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5E2BD0" w:rsidRPr="005E2BD0" w:rsidRDefault="005E2BD0" w:rsidP="005E2BD0">
            <w:pPr>
              <w:jc w:val="left"/>
              <w:rPr>
                <w:rFonts w:ascii="宋体" w:eastAsia="宋体" w:hAnsi="宋体" w:cs="Segoe UI" w:hint="eastAsia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知识产权法律问题概述、案例分析</w:t>
            </w:r>
          </w:p>
        </w:tc>
        <w:tc>
          <w:tcPr>
            <w:tcW w:w="504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E2BD0" w:rsidRPr="005E2BD0" w:rsidTr="005B7506">
        <w:trPr>
          <w:trHeight w:val="340"/>
          <w:jc w:val="center"/>
        </w:trPr>
        <w:tc>
          <w:tcPr>
            <w:tcW w:w="112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E2BD0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电子商务税务法律问题</w:t>
            </w:r>
          </w:p>
        </w:tc>
        <w:tc>
          <w:tcPr>
            <w:tcW w:w="2126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税收政策、跨境交易的税务问题</w:t>
            </w:r>
          </w:p>
        </w:tc>
        <w:tc>
          <w:tcPr>
            <w:tcW w:w="567" w:type="dxa"/>
            <w:vAlign w:val="center"/>
          </w:tcPr>
          <w:p w:rsidR="005E2BD0" w:rsidRPr="005E2BD0" w:rsidRDefault="005E2BD0" w:rsidP="005E2BD0">
            <w:pPr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5E2BD0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5E2BD0" w:rsidRPr="005E2BD0" w:rsidRDefault="005E2BD0" w:rsidP="005E2BD0">
            <w:pPr>
              <w:jc w:val="left"/>
              <w:rPr>
                <w:rFonts w:ascii="宋体" w:eastAsia="宋体" w:hAnsi="宋体" w:cs="Segoe UI" w:hint="eastAsia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电商税务问题概述、跨境交易税收案例分析</w:t>
            </w:r>
          </w:p>
        </w:tc>
        <w:tc>
          <w:tcPr>
            <w:tcW w:w="504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E2BD0" w:rsidRPr="005E2BD0" w:rsidTr="005B7506">
        <w:trPr>
          <w:trHeight w:val="340"/>
          <w:jc w:val="center"/>
        </w:trPr>
        <w:tc>
          <w:tcPr>
            <w:tcW w:w="112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E2BD0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电子商务争议解决</w:t>
            </w:r>
          </w:p>
        </w:tc>
        <w:tc>
          <w:tcPr>
            <w:tcW w:w="2126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争议解决机制、在线仲裁</w:t>
            </w:r>
          </w:p>
        </w:tc>
        <w:tc>
          <w:tcPr>
            <w:tcW w:w="567" w:type="dxa"/>
            <w:vAlign w:val="center"/>
          </w:tcPr>
          <w:p w:rsidR="005E2BD0" w:rsidRPr="005E2BD0" w:rsidRDefault="005E2BD0" w:rsidP="005E2BD0">
            <w:pPr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5E2BD0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5E2BD0" w:rsidRPr="005E2BD0" w:rsidRDefault="005E2BD0" w:rsidP="005E2BD0">
            <w:pPr>
              <w:jc w:val="left"/>
              <w:rPr>
                <w:rFonts w:ascii="宋体" w:eastAsia="宋体" w:hAnsi="宋体" w:cs="Segoe UI" w:hint="eastAsia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争议解决法律方法讲解、在线仲裁案例分析</w:t>
            </w:r>
          </w:p>
        </w:tc>
        <w:tc>
          <w:tcPr>
            <w:tcW w:w="504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E2BD0" w:rsidRPr="005E2BD0" w:rsidTr="005B7506">
        <w:trPr>
          <w:trHeight w:val="340"/>
          <w:jc w:val="center"/>
        </w:trPr>
        <w:tc>
          <w:tcPr>
            <w:tcW w:w="112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E2BD0"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国际电子商务法与跨境问题</w:t>
            </w:r>
          </w:p>
        </w:tc>
        <w:tc>
          <w:tcPr>
            <w:tcW w:w="2126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跨境支付、法律管辖与选择法院</w:t>
            </w:r>
          </w:p>
        </w:tc>
        <w:tc>
          <w:tcPr>
            <w:tcW w:w="567" w:type="dxa"/>
            <w:vAlign w:val="center"/>
          </w:tcPr>
          <w:p w:rsidR="005E2BD0" w:rsidRPr="005E2BD0" w:rsidRDefault="005E2BD0" w:rsidP="005E2BD0">
            <w:pPr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5E2BD0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5E2BD0" w:rsidRPr="005E2BD0" w:rsidRDefault="005E2BD0" w:rsidP="005E2BD0">
            <w:pPr>
              <w:jc w:val="left"/>
              <w:rPr>
                <w:rFonts w:ascii="宋体" w:eastAsia="宋体" w:hAnsi="宋体" w:cs="Segoe UI" w:hint="eastAsia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国际支付法律问题探讨、管辖权案例分析</w:t>
            </w:r>
          </w:p>
        </w:tc>
        <w:tc>
          <w:tcPr>
            <w:tcW w:w="504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E2BD0" w:rsidRPr="005E2BD0" w:rsidTr="005B7506">
        <w:trPr>
          <w:trHeight w:val="340"/>
          <w:jc w:val="center"/>
        </w:trPr>
        <w:tc>
          <w:tcPr>
            <w:tcW w:w="112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E2BD0">
              <w:rPr>
                <w:rFonts w:ascii="宋体" w:eastAsia="宋体" w:hAnsi="宋体" w:hint="eastAsia"/>
                <w:szCs w:val="21"/>
              </w:rPr>
              <w:t>1</w:t>
            </w:r>
            <w:r w:rsidRPr="005E2BD0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未来趋势与发展</w:t>
            </w:r>
          </w:p>
        </w:tc>
        <w:tc>
          <w:tcPr>
            <w:tcW w:w="2126" w:type="dxa"/>
            <w:vAlign w:val="center"/>
          </w:tcPr>
          <w:p w:rsidR="005E2BD0" w:rsidRPr="005E2BD0" w:rsidRDefault="005E2BD0" w:rsidP="005E2BD0">
            <w:pPr>
              <w:rPr>
                <w:rFonts w:ascii="宋体" w:eastAsia="宋体" w:hAnsi="宋体" w:cs="Segoe UI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科技发展对电子商务法的影响</w:t>
            </w:r>
          </w:p>
        </w:tc>
        <w:tc>
          <w:tcPr>
            <w:tcW w:w="567" w:type="dxa"/>
            <w:vAlign w:val="center"/>
          </w:tcPr>
          <w:p w:rsidR="005E2BD0" w:rsidRPr="005E2BD0" w:rsidRDefault="005E2BD0" w:rsidP="005E2BD0">
            <w:pPr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5E2BD0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5E2BD0" w:rsidRPr="005E2BD0" w:rsidRDefault="005E2BD0" w:rsidP="005E2BD0">
            <w:pPr>
              <w:jc w:val="left"/>
              <w:rPr>
                <w:rFonts w:ascii="宋体" w:eastAsia="宋体" w:hAnsi="宋体" w:cs="Segoe UI" w:hint="eastAsia"/>
                <w:color w:val="374151"/>
                <w:szCs w:val="21"/>
              </w:rPr>
            </w:pPr>
            <w:r w:rsidRPr="005E2BD0">
              <w:rPr>
                <w:rFonts w:ascii="宋体" w:eastAsia="宋体" w:hAnsi="宋体" w:cs="Segoe UI"/>
                <w:color w:val="374151"/>
                <w:szCs w:val="21"/>
              </w:rPr>
              <w:t>未来趋势预测、技术创新与法律挑战讨论</w:t>
            </w:r>
          </w:p>
        </w:tc>
        <w:tc>
          <w:tcPr>
            <w:tcW w:w="504" w:type="dxa"/>
            <w:vAlign w:val="center"/>
          </w:tcPr>
          <w:p w:rsidR="005E2BD0" w:rsidRPr="005E2BD0" w:rsidRDefault="005E2BD0" w:rsidP="005E2B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061B0A" w:rsidRDefault="0096218C">
      <w:pPr>
        <w:widowControl/>
        <w:spacing w:beforeLines="50" w:before="156" w:afterLines="50" w:after="156"/>
        <w:ind w:firstLineChars="200" w:firstLine="562"/>
        <w:jc w:val="left"/>
        <w:rPr>
          <w:rFonts w:eastAsia="黑体"/>
        </w:rPr>
      </w:pPr>
      <w:r>
        <w:rPr>
          <w:rFonts w:ascii="黑体" w:eastAsia="黑体" w:hAnsi="黑体" w:hint="eastAsia"/>
          <w:b/>
          <w:sz w:val="28"/>
          <w:szCs w:val="28"/>
        </w:rPr>
        <w:t>六、教材及参考书目（以最新版为准）</w:t>
      </w:r>
    </w:p>
    <w:p w:rsidR="001818C8" w:rsidRPr="001818C8" w:rsidRDefault="0096218C" w:rsidP="001818C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2A4E24" w:rsidRPr="002A4E24">
        <w:rPr>
          <w:rFonts w:ascii="宋体" w:eastAsia="宋体" w:hAnsi="宋体" w:hint="eastAsia"/>
        </w:rPr>
        <w:t>电子商务法（第二版）</w:t>
      </w:r>
      <w:r w:rsidR="002A4E24" w:rsidRPr="002A4E24">
        <w:rPr>
          <w:rFonts w:ascii="宋体" w:eastAsia="宋体" w:hAnsi="宋体"/>
        </w:rPr>
        <w:t xml:space="preserve"> 凌斌,胡凌 中国人民大学出版社</w:t>
      </w:r>
    </w:p>
    <w:p w:rsidR="00061B0A" w:rsidRDefault="0096218C" w:rsidP="001818C8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:rsidR="00061B0A" w:rsidRDefault="009621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1．讲授法：理论讲授，主要教学方法，贯穿教学全过程。</w:t>
      </w:r>
    </w:p>
    <w:p w:rsidR="00061B0A" w:rsidRDefault="009621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2．讨论法：对本门课程的主要内容，采用问题形式，在师生和学生之间展开讨论。</w:t>
      </w:r>
    </w:p>
    <w:p w:rsidR="00061B0A" w:rsidRDefault="009621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3.比较法：通过比较不同研究方式、研究方法等，深化学生对相关知识点的认识。</w:t>
      </w:r>
    </w:p>
    <w:p w:rsidR="00061B0A" w:rsidRDefault="009621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4.举例法：通过举例，强化学生对相关知识点的认识。</w:t>
      </w:r>
    </w:p>
    <w:p w:rsidR="00061B0A" w:rsidRDefault="009621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5.案例分析法：通过案例解读、案例问题回答，提高学生理论知识运用能力。</w:t>
      </w:r>
    </w:p>
    <w:p w:rsidR="00061B0A" w:rsidRDefault="0096218C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 xml:space="preserve"> 八</w:t>
      </w:r>
      <w:r>
        <w:rPr>
          <w:rFonts w:ascii="黑体" w:eastAsia="黑体" w:hAnsi="黑体" w:cs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考核方式及评定方法</w:t>
      </w:r>
    </w:p>
    <w:p w:rsidR="00061B0A" w:rsidRDefault="0096218C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:rsidR="00061B0A" w:rsidRDefault="0096218C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061B0A">
        <w:trPr>
          <w:trHeight w:val="567"/>
          <w:jc w:val="center"/>
        </w:trPr>
        <w:tc>
          <w:tcPr>
            <w:tcW w:w="2847" w:type="dxa"/>
            <w:vAlign w:val="center"/>
          </w:tcPr>
          <w:p w:rsidR="00061B0A" w:rsidRDefault="0096218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061B0A" w:rsidRDefault="0096218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061B0A" w:rsidRDefault="0096218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061B0A">
        <w:trPr>
          <w:trHeight w:val="567"/>
          <w:jc w:val="center"/>
        </w:trPr>
        <w:tc>
          <w:tcPr>
            <w:tcW w:w="2847" w:type="dxa"/>
            <w:vAlign w:val="center"/>
          </w:tcPr>
          <w:p w:rsidR="00061B0A" w:rsidRDefault="0096218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061B0A" w:rsidRDefault="005A5D79">
            <w:pPr>
              <w:pStyle w:val="a3"/>
              <w:spacing w:beforeLines="50" w:before="156" w:afterLines="50" w:after="156"/>
              <w:rPr>
                <w:rFonts w:hAnsi="宋体"/>
                <w:b/>
              </w:rPr>
            </w:pPr>
            <w:r w:rsidRPr="005A5D79">
              <w:rPr>
                <w:rFonts w:hAnsi="宋体" w:cs="宋体" w:hint="eastAsia"/>
                <w:bCs/>
              </w:rPr>
              <w:t>建立法律意识和框架</w:t>
            </w:r>
          </w:p>
        </w:tc>
        <w:tc>
          <w:tcPr>
            <w:tcW w:w="2849" w:type="dxa"/>
            <w:vAlign w:val="center"/>
          </w:tcPr>
          <w:p w:rsidR="00061B0A" w:rsidRDefault="0096218C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061B0A" w:rsidRDefault="0096218C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061B0A" w:rsidRDefault="0096218C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061B0A">
        <w:trPr>
          <w:trHeight w:val="567"/>
          <w:jc w:val="center"/>
        </w:trPr>
        <w:tc>
          <w:tcPr>
            <w:tcW w:w="2847" w:type="dxa"/>
            <w:vAlign w:val="center"/>
          </w:tcPr>
          <w:p w:rsidR="00061B0A" w:rsidRDefault="0096218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061B0A" w:rsidRDefault="005A5D79">
            <w:pPr>
              <w:rPr>
                <w:rFonts w:hAnsi="宋体"/>
                <w:b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保障交易安全与权益</w:t>
            </w:r>
          </w:p>
        </w:tc>
        <w:tc>
          <w:tcPr>
            <w:tcW w:w="2849" w:type="dxa"/>
            <w:vAlign w:val="center"/>
          </w:tcPr>
          <w:p w:rsidR="00061B0A" w:rsidRDefault="0096218C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061B0A" w:rsidRDefault="0096218C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061B0A" w:rsidRDefault="0096218C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061B0A">
        <w:trPr>
          <w:trHeight w:val="567"/>
          <w:jc w:val="center"/>
        </w:trPr>
        <w:tc>
          <w:tcPr>
            <w:tcW w:w="2847" w:type="dxa"/>
            <w:vAlign w:val="center"/>
          </w:tcPr>
          <w:p w:rsidR="00061B0A" w:rsidRDefault="0096218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061B0A" w:rsidRPr="001818C8" w:rsidRDefault="005A5D79">
            <w:pPr>
              <w:pStyle w:val="a3"/>
              <w:spacing w:beforeLines="50" w:before="156" w:afterLines="50" w:after="156"/>
              <w:rPr>
                <w:rFonts w:hAnsi="宋体"/>
              </w:rPr>
            </w:pPr>
            <w:r w:rsidRPr="005A5D79">
              <w:rPr>
                <w:rFonts w:hAnsi="宋体" w:hint="eastAsia"/>
              </w:rPr>
              <w:t>应对未来挑战与发展</w:t>
            </w:r>
          </w:p>
        </w:tc>
        <w:tc>
          <w:tcPr>
            <w:tcW w:w="2849" w:type="dxa"/>
            <w:vAlign w:val="center"/>
          </w:tcPr>
          <w:p w:rsidR="00061B0A" w:rsidRDefault="0096218C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061B0A" w:rsidRDefault="0096218C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061B0A" w:rsidRDefault="0096218C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</w:tbl>
    <w:p w:rsidR="00061B0A" w:rsidRDefault="0096218C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:rsidR="00061B0A" w:rsidRDefault="0096218C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:rsidR="00061B0A" w:rsidRDefault="009621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平时成绩（含考勤、课堂表现与作业）30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，期中考试10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；期末考试6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cs="宋体" w:hint="eastAsia"/>
          <w:color w:val="000000"/>
          <w:szCs w:val="21"/>
        </w:rPr>
        <w:t>闭卷。</w:t>
      </w:r>
    </w:p>
    <w:p w:rsidR="00061B0A" w:rsidRDefault="0096218C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2．课程目标的考核占比与达成度分析 </w:t>
      </w:r>
    </w:p>
    <w:p w:rsidR="00061B0A" w:rsidRDefault="0096218C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061B0A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61B0A" w:rsidRDefault="0096218C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061B0A" w:rsidRDefault="0096218C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061B0A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061B0A" w:rsidRDefault="0096218C">
            <w:pPr>
              <w:spacing w:beforeLines="50" w:before="156" w:afterLines="50" w:after="156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总评达成度={0.3ｘ平时分目标成绩+0.1ｘ期中分目标成绩  +0.6ｘ期末分目标成绩 }/分目标总分</w:t>
            </w:r>
          </w:p>
        </w:tc>
      </w:tr>
      <w:tr w:rsidR="00061B0A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061B0A" w:rsidRDefault="00061B0A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061B0A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061B0A" w:rsidRDefault="00061B0A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061B0A" w:rsidRDefault="0096218C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061B0A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lastRenderedPageBreak/>
              <w:t>课程</w:t>
            </w:r>
          </w:p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061B0A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B0A" w:rsidRDefault="00061B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061B0A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B0A" w:rsidRDefault="00061B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061B0A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061B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061B0A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A" w:rsidRDefault="0096218C" w:rsidP="00951F0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 w:rsidR="005A5D79">
              <w:rPr>
                <w:rFonts w:ascii="宋体" w:eastAsia="宋体" w:hAnsi="宋体" w:hint="eastAsia"/>
                <w:szCs w:val="21"/>
              </w:rPr>
              <w:t>电子商务的</w:t>
            </w:r>
            <w:r w:rsidR="005A5D79" w:rsidRPr="005A5D79">
              <w:rPr>
                <w:rFonts w:ascii="宋体" w:eastAsia="宋体" w:hAnsi="宋体" w:hint="eastAsia"/>
                <w:szCs w:val="21"/>
              </w:rPr>
              <w:t>法律意识和框架</w:t>
            </w:r>
            <w:r w:rsidR="00951F07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A" w:rsidRDefault="0096218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</w:t>
            </w:r>
            <w:r w:rsidR="00951F07">
              <w:rPr>
                <w:rFonts w:ascii="宋体" w:eastAsia="宋体" w:hAnsi="宋体" w:hint="eastAsia"/>
                <w:szCs w:val="21"/>
              </w:rPr>
              <w:t>较全面、准确地掌握</w:t>
            </w:r>
            <w:r w:rsidR="005A5D79">
              <w:rPr>
                <w:rFonts w:ascii="宋体" w:eastAsia="宋体" w:hAnsi="宋体" w:hint="eastAsia"/>
                <w:szCs w:val="21"/>
              </w:rPr>
              <w:t>电子商务的</w:t>
            </w:r>
            <w:r w:rsidR="005A5D79" w:rsidRPr="005A5D79">
              <w:rPr>
                <w:rFonts w:ascii="宋体" w:eastAsia="宋体" w:hAnsi="宋体" w:hint="eastAsia"/>
                <w:szCs w:val="21"/>
              </w:rPr>
              <w:t>法律意识和框架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A" w:rsidRDefault="0096218C" w:rsidP="00951F0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5A5D79">
              <w:rPr>
                <w:rFonts w:ascii="宋体" w:eastAsia="宋体" w:hAnsi="宋体" w:hint="eastAsia"/>
                <w:szCs w:val="21"/>
              </w:rPr>
              <w:t>电子商务的</w:t>
            </w:r>
            <w:r w:rsidR="005A5D79" w:rsidRPr="005A5D79">
              <w:rPr>
                <w:rFonts w:ascii="宋体" w:eastAsia="宋体" w:hAnsi="宋体" w:hint="eastAsia"/>
                <w:szCs w:val="21"/>
              </w:rPr>
              <w:t>法律意识和框架</w:t>
            </w:r>
            <w:r w:rsidR="005A5D79">
              <w:rPr>
                <w:rFonts w:ascii="宋体" w:eastAsia="宋体" w:hAnsi="宋体" w:hint="eastAsia"/>
                <w:szCs w:val="21"/>
              </w:rPr>
              <w:t>有了解</w:t>
            </w:r>
            <w:r>
              <w:rPr>
                <w:rFonts w:ascii="宋体" w:eastAsia="宋体" w:hAnsi="宋体" w:hint="eastAsia"/>
                <w:szCs w:val="21"/>
              </w:rPr>
              <w:t>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A" w:rsidRDefault="0096218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</w:t>
            </w:r>
            <w:r w:rsidR="005A5D79">
              <w:rPr>
                <w:rFonts w:ascii="宋体" w:eastAsia="宋体" w:hAnsi="宋体" w:hint="eastAsia"/>
                <w:szCs w:val="21"/>
              </w:rPr>
              <w:t>电子商务的</w:t>
            </w:r>
            <w:r w:rsidR="005A5D79" w:rsidRPr="005A5D79">
              <w:rPr>
                <w:rFonts w:ascii="宋体" w:eastAsia="宋体" w:hAnsi="宋体" w:hint="eastAsia"/>
                <w:szCs w:val="21"/>
              </w:rPr>
              <w:t>法律意识和框架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A" w:rsidRDefault="0096218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</w:t>
            </w:r>
            <w:r w:rsidR="000E75B9">
              <w:rPr>
                <w:rFonts w:ascii="宋体" w:eastAsia="宋体" w:hAnsi="宋体" w:hint="eastAsia"/>
                <w:szCs w:val="21"/>
              </w:rPr>
              <w:t>电子商务的</w:t>
            </w:r>
            <w:r w:rsidR="000E75B9" w:rsidRPr="005A5D79">
              <w:rPr>
                <w:rFonts w:ascii="宋体" w:eastAsia="宋体" w:hAnsi="宋体" w:hint="eastAsia"/>
                <w:szCs w:val="21"/>
              </w:rPr>
              <w:t>法律意识和框架</w:t>
            </w:r>
            <w:r w:rsidR="000E75B9">
              <w:rPr>
                <w:rFonts w:ascii="宋体" w:eastAsia="宋体" w:hAnsi="宋体" w:hint="eastAsia"/>
                <w:szCs w:val="21"/>
              </w:rPr>
              <w:t>有了解</w:t>
            </w:r>
          </w:p>
        </w:tc>
      </w:tr>
      <w:tr w:rsidR="00061B0A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A" w:rsidRDefault="0096218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非常准确、深入地理解</w:t>
            </w:r>
            <w:r w:rsidR="000E75B9">
              <w:rPr>
                <w:rFonts w:ascii="宋体" w:eastAsia="宋体" w:hAnsi="宋体" w:cs="宋体" w:hint="eastAsia"/>
                <w:bCs/>
                <w:szCs w:val="20"/>
              </w:rPr>
              <w:t>保障交易安全与权益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A" w:rsidRDefault="0096218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比较准确、深入地理解</w:t>
            </w:r>
            <w:r w:rsidR="000E75B9">
              <w:rPr>
                <w:rFonts w:ascii="宋体" w:eastAsia="宋体" w:hAnsi="宋体" w:cs="宋体" w:hint="eastAsia"/>
                <w:bCs/>
                <w:szCs w:val="20"/>
              </w:rPr>
              <w:t>保障交易安全与权益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A" w:rsidRDefault="0096218C" w:rsidP="00951F0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对</w:t>
            </w:r>
            <w:r w:rsidR="000E75B9">
              <w:rPr>
                <w:rFonts w:ascii="宋体" w:eastAsia="宋体" w:hAnsi="宋体" w:cs="宋体" w:hint="eastAsia"/>
                <w:bCs/>
                <w:szCs w:val="20"/>
              </w:rPr>
              <w:t>保障交易安全与权益</w:t>
            </w:r>
            <w:r w:rsidR="00951F07">
              <w:rPr>
                <w:rFonts w:ascii="宋体" w:eastAsia="宋体" w:hAnsi="宋体" w:cs="宋体" w:hint="eastAsia"/>
                <w:bCs/>
                <w:szCs w:val="20"/>
              </w:rPr>
              <w:t>的理解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较为准确，但不够深入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A" w:rsidRDefault="0096218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基本正确地理解</w:t>
            </w:r>
            <w:r w:rsidR="000E75B9">
              <w:rPr>
                <w:rFonts w:ascii="宋体" w:eastAsia="宋体" w:hAnsi="宋体" w:cs="宋体" w:hint="eastAsia"/>
                <w:bCs/>
                <w:szCs w:val="20"/>
              </w:rPr>
              <w:t>保障交易安全与权益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A" w:rsidRDefault="0096218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不能正确理解</w:t>
            </w:r>
            <w:r w:rsidR="000E75B9">
              <w:rPr>
                <w:rFonts w:ascii="宋体" w:eastAsia="宋体" w:hAnsi="宋体" w:cs="宋体" w:hint="eastAsia"/>
                <w:bCs/>
                <w:szCs w:val="20"/>
              </w:rPr>
              <w:t>保障交易安全与权益</w:t>
            </w:r>
          </w:p>
        </w:tc>
      </w:tr>
      <w:tr w:rsidR="00061B0A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061B0A" w:rsidRDefault="0096218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A" w:rsidRDefault="0096218C" w:rsidP="000E75B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</w:t>
            </w:r>
            <w:r w:rsidR="000E75B9">
              <w:rPr>
                <w:rFonts w:ascii="宋体" w:eastAsia="宋体" w:hAnsi="宋体" w:hint="eastAsia"/>
                <w:szCs w:val="21"/>
              </w:rPr>
              <w:t>了解</w:t>
            </w:r>
            <w:r w:rsidR="000E75B9">
              <w:rPr>
                <w:rFonts w:ascii="宋体" w:eastAsia="宋体" w:hAnsi="宋体" w:hint="eastAsia"/>
                <w:szCs w:val="21"/>
              </w:rPr>
              <w:t>电商法如何</w:t>
            </w:r>
            <w:r w:rsidR="000E75B9" w:rsidRPr="000E75B9">
              <w:rPr>
                <w:rFonts w:ascii="宋体" w:eastAsia="宋体" w:hAnsi="宋体" w:hint="eastAsia"/>
                <w:szCs w:val="21"/>
              </w:rPr>
              <w:t>应对未来挑战与发展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A" w:rsidRDefault="0096218C" w:rsidP="000E75B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比较全面、准确地掌握</w:t>
            </w:r>
            <w:r w:rsidR="000E75B9">
              <w:rPr>
                <w:rFonts w:ascii="宋体" w:eastAsia="宋体" w:hAnsi="宋体" w:hint="eastAsia"/>
                <w:szCs w:val="21"/>
              </w:rPr>
              <w:t>电商法如何</w:t>
            </w:r>
            <w:r w:rsidR="000E75B9" w:rsidRPr="000E75B9">
              <w:rPr>
                <w:rFonts w:ascii="宋体" w:eastAsia="宋体" w:hAnsi="宋体" w:hint="eastAsia"/>
                <w:szCs w:val="21"/>
              </w:rPr>
              <w:t>应对未来挑战与发展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A" w:rsidRDefault="000E75B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电商法如何</w:t>
            </w:r>
            <w:r w:rsidRPr="000E75B9">
              <w:rPr>
                <w:rFonts w:ascii="宋体" w:eastAsia="宋体" w:hAnsi="宋体" w:hint="eastAsia"/>
                <w:szCs w:val="21"/>
              </w:rPr>
              <w:t>应对未来挑战与发展</w:t>
            </w:r>
            <w:r>
              <w:rPr>
                <w:rFonts w:ascii="宋体" w:eastAsia="宋体" w:hAnsi="宋体" w:hint="eastAsia"/>
                <w:szCs w:val="21"/>
              </w:rPr>
              <w:t>的理解</w:t>
            </w:r>
            <w:r w:rsidR="0096218C">
              <w:rPr>
                <w:rFonts w:ascii="宋体" w:eastAsia="宋体" w:hAnsi="宋体" w:hint="eastAsia"/>
                <w:szCs w:val="21"/>
              </w:rPr>
              <w:t>较为准确，但不够全面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A" w:rsidRDefault="0096218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</w:t>
            </w:r>
            <w:r w:rsidR="000E75B9">
              <w:rPr>
                <w:rFonts w:ascii="宋体" w:eastAsia="宋体" w:hAnsi="宋体" w:hint="eastAsia"/>
                <w:szCs w:val="21"/>
              </w:rPr>
              <w:t>电商法如何</w:t>
            </w:r>
            <w:r w:rsidR="000E75B9" w:rsidRPr="000E75B9">
              <w:rPr>
                <w:rFonts w:ascii="宋体" w:eastAsia="宋体" w:hAnsi="宋体" w:hint="eastAsia"/>
                <w:szCs w:val="21"/>
              </w:rPr>
              <w:t>应对未来挑战与发展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A" w:rsidRDefault="0096218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</w:t>
            </w:r>
            <w:r w:rsidR="000E75B9">
              <w:rPr>
                <w:rFonts w:ascii="宋体" w:eastAsia="宋体" w:hAnsi="宋体" w:hint="eastAsia"/>
                <w:szCs w:val="21"/>
              </w:rPr>
              <w:t>电商法如何</w:t>
            </w:r>
            <w:r w:rsidR="000E75B9" w:rsidRPr="000E75B9">
              <w:rPr>
                <w:rFonts w:ascii="宋体" w:eastAsia="宋体" w:hAnsi="宋体" w:hint="eastAsia"/>
                <w:szCs w:val="21"/>
              </w:rPr>
              <w:t>应对未来挑战与发展</w:t>
            </w:r>
            <w:bookmarkStart w:id="0" w:name="_GoBack"/>
            <w:bookmarkEnd w:id="0"/>
          </w:p>
        </w:tc>
      </w:tr>
    </w:tbl>
    <w:p w:rsidR="00061B0A" w:rsidRDefault="00061B0A">
      <w:pPr>
        <w:widowControl/>
        <w:jc w:val="left"/>
        <w:rPr>
          <w:rFonts w:ascii="宋体" w:eastAsia="宋体" w:hAnsi="宋体"/>
        </w:rPr>
      </w:pPr>
    </w:p>
    <w:sectPr w:rsidR="00061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05" w:rsidRDefault="000F1A05" w:rsidP="00FB2322">
      <w:r>
        <w:separator/>
      </w:r>
    </w:p>
  </w:endnote>
  <w:endnote w:type="continuationSeparator" w:id="0">
    <w:p w:rsidR="000F1A05" w:rsidRDefault="000F1A05" w:rsidP="00FB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05" w:rsidRDefault="000F1A05" w:rsidP="00FB2322">
      <w:r>
        <w:separator/>
      </w:r>
    </w:p>
  </w:footnote>
  <w:footnote w:type="continuationSeparator" w:id="0">
    <w:p w:rsidR="000F1A05" w:rsidRDefault="000F1A05" w:rsidP="00FB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5A2"/>
    <w:multiLevelType w:val="multilevel"/>
    <w:tmpl w:val="02B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6747E"/>
    <w:multiLevelType w:val="multilevel"/>
    <w:tmpl w:val="8BC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90626"/>
    <w:multiLevelType w:val="hybridMultilevel"/>
    <w:tmpl w:val="E9BEE3F6"/>
    <w:lvl w:ilvl="0" w:tplc="EC0049F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F6DD7"/>
    <w:multiLevelType w:val="multilevel"/>
    <w:tmpl w:val="49F2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9F534C"/>
    <w:multiLevelType w:val="multilevel"/>
    <w:tmpl w:val="A1B2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7F6F4A"/>
    <w:multiLevelType w:val="multilevel"/>
    <w:tmpl w:val="7676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D01348"/>
    <w:multiLevelType w:val="multilevel"/>
    <w:tmpl w:val="C61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891A63"/>
    <w:multiLevelType w:val="hybridMultilevel"/>
    <w:tmpl w:val="E97AA8E2"/>
    <w:lvl w:ilvl="0" w:tplc="6B808EE8">
      <w:start w:val="1"/>
      <w:numFmt w:val="decimal"/>
      <w:lvlText w:val="%1、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ED553C"/>
    <w:multiLevelType w:val="multilevel"/>
    <w:tmpl w:val="35B6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A14EE2"/>
    <w:multiLevelType w:val="multilevel"/>
    <w:tmpl w:val="08D8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DE06EA"/>
    <w:multiLevelType w:val="multilevel"/>
    <w:tmpl w:val="031A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EC5281"/>
    <w:multiLevelType w:val="multilevel"/>
    <w:tmpl w:val="B288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C63912"/>
    <w:multiLevelType w:val="multilevel"/>
    <w:tmpl w:val="5BF0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BA522C"/>
    <w:multiLevelType w:val="multilevel"/>
    <w:tmpl w:val="4870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224B08"/>
    <w:multiLevelType w:val="multilevel"/>
    <w:tmpl w:val="75A4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327EC8"/>
    <w:multiLevelType w:val="hybridMultilevel"/>
    <w:tmpl w:val="1082A9AA"/>
    <w:lvl w:ilvl="0" w:tplc="326E26B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DF7764"/>
    <w:multiLevelType w:val="multilevel"/>
    <w:tmpl w:val="FCC8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435340"/>
    <w:multiLevelType w:val="hybridMultilevel"/>
    <w:tmpl w:val="48CC102A"/>
    <w:lvl w:ilvl="0" w:tplc="326E26B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0620E5"/>
    <w:multiLevelType w:val="multilevel"/>
    <w:tmpl w:val="5714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C46E78"/>
    <w:multiLevelType w:val="multilevel"/>
    <w:tmpl w:val="7D0A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E14B83"/>
    <w:multiLevelType w:val="multilevel"/>
    <w:tmpl w:val="2B90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8F62F1"/>
    <w:multiLevelType w:val="multilevel"/>
    <w:tmpl w:val="269C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6D4F1A"/>
    <w:multiLevelType w:val="multilevel"/>
    <w:tmpl w:val="BDEE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535C3C"/>
    <w:multiLevelType w:val="multilevel"/>
    <w:tmpl w:val="6D90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B65556"/>
    <w:multiLevelType w:val="multilevel"/>
    <w:tmpl w:val="01DE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DB1EB6"/>
    <w:multiLevelType w:val="multilevel"/>
    <w:tmpl w:val="B154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9364CD"/>
    <w:multiLevelType w:val="multilevel"/>
    <w:tmpl w:val="D050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6451CA"/>
    <w:multiLevelType w:val="multilevel"/>
    <w:tmpl w:val="F48E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235C6B"/>
    <w:multiLevelType w:val="multilevel"/>
    <w:tmpl w:val="9E12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E842CD"/>
    <w:multiLevelType w:val="multilevel"/>
    <w:tmpl w:val="D9F4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3559DC"/>
    <w:multiLevelType w:val="multilevel"/>
    <w:tmpl w:val="3934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3A08F3"/>
    <w:multiLevelType w:val="multilevel"/>
    <w:tmpl w:val="2462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46294D"/>
    <w:multiLevelType w:val="multilevel"/>
    <w:tmpl w:val="4E24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8E4AA9"/>
    <w:multiLevelType w:val="multilevel"/>
    <w:tmpl w:val="ECDE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EB2E2C"/>
    <w:multiLevelType w:val="multilevel"/>
    <w:tmpl w:val="024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99470A"/>
    <w:multiLevelType w:val="singleLevel"/>
    <w:tmpl w:val="6499470A"/>
    <w:lvl w:ilvl="0">
      <w:start w:val="2"/>
      <w:numFmt w:val="chineseCounting"/>
      <w:suff w:val="nothing"/>
      <w:lvlText w:val="（%1）"/>
      <w:lvlJc w:val="left"/>
    </w:lvl>
  </w:abstractNum>
  <w:abstractNum w:abstractNumId="36" w15:restartNumberingAfterBreak="0">
    <w:nsid w:val="64994788"/>
    <w:multiLevelType w:val="singleLevel"/>
    <w:tmpl w:val="64994788"/>
    <w:lvl w:ilvl="0">
      <w:start w:val="3"/>
      <w:numFmt w:val="chineseCounting"/>
      <w:suff w:val="nothing"/>
      <w:lvlText w:val="%1、"/>
      <w:lvlJc w:val="left"/>
    </w:lvl>
  </w:abstractNum>
  <w:abstractNum w:abstractNumId="37" w15:restartNumberingAfterBreak="0">
    <w:nsid w:val="649947F8"/>
    <w:multiLevelType w:val="singleLevel"/>
    <w:tmpl w:val="649947F8"/>
    <w:lvl w:ilvl="0">
      <w:start w:val="5"/>
      <w:numFmt w:val="chineseCounting"/>
      <w:suff w:val="nothing"/>
      <w:lvlText w:val="%1、"/>
      <w:lvlJc w:val="left"/>
    </w:lvl>
  </w:abstractNum>
  <w:abstractNum w:abstractNumId="38" w15:restartNumberingAfterBreak="0">
    <w:nsid w:val="66D42652"/>
    <w:multiLevelType w:val="multilevel"/>
    <w:tmpl w:val="9B86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CC5CE6"/>
    <w:multiLevelType w:val="hybridMultilevel"/>
    <w:tmpl w:val="4D9A7B44"/>
    <w:lvl w:ilvl="0" w:tplc="F22886B4">
      <w:start w:val="1"/>
      <w:numFmt w:val="decimal"/>
      <w:lvlText w:val="%1、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B405E0"/>
    <w:multiLevelType w:val="multilevel"/>
    <w:tmpl w:val="4922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261F85"/>
    <w:multiLevelType w:val="multilevel"/>
    <w:tmpl w:val="CF00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761C97"/>
    <w:multiLevelType w:val="multilevel"/>
    <w:tmpl w:val="F1BA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1356B7"/>
    <w:multiLevelType w:val="multilevel"/>
    <w:tmpl w:val="040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36"/>
  </w:num>
  <w:num w:numId="3">
    <w:abstractNumId w:val="37"/>
  </w:num>
  <w:num w:numId="4">
    <w:abstractNumId w:val="39"/>
  </w:num>
  <w:num w:numId="5">
    <w:abstractNumId w:val="7"/>
  </w:num>
  <w:num w:numId="6">
    <w:abstractNumId w:val="2"/>
  </w:num>
  <w:num w:numId="7">
    <w:abstractNumId w:val="15"/>
  </w:num>
  <w:num w:numId="8">
    <w:abstractNumId w:val="17"/>
  </w:num>
  <w:num w:numId="9">
    <w:abstractNumId w:val="41"/>
  </w:num>
  <w:num w:numId="10">
    <w:abstractNumId w:val="24"/>
  </w:num>
  <w:num w:numId="11">
    <w:abstractNumId w:val="31"/>
  </w:num>
  <w:num w:numId="12">
    <w:abstractNumId w:val="32"/>
  </w:num>
  <w:num w:numId="13">
    <w:abstractNumId w:val="13"/>
  </w:num>
  <w:num w:numId="14">
    <w:abstractNumId w:val="6"/>
  </w:num>
  <w:num w:numId="15">
    <w:abstractNumId w:val="3"/>
  </w:num>
  <w:num w:numId="16">
    <w:abstractNumId w:val="12"/>
  </w:num>
  <w:num w:numId="17">
    <w:abstractNumId w:val="8"/>
  </w:num>
  <w:num w:numId="18">
    <w:abstractNumId w:val="9"/>
  </w:num>
  <w:num w:numId="19">
    <w:abstractNumId w:val="20"/>
  </w:num>
  <w:num w:numId="20">
    <w:abstractNumId w:val="0"/>
  </w:num>
  <w:num w:numId="21">
    <w:abstractNumId w:val="4"/>
  </w:num>
  <w:num w:numId="22">
    <w:abstractNumId w:val="27"/>
  </w:num>
  <w:num w:numId="23">
    <w:abstractNumId w:val="10"/>
  </w:num>
  <w:num w:numId="24">
    <w:abstractNumId w:val="1"/>
  </w:num>
  <w:num w:numId="25">
    <w:abstractNumId w:val="14"/>
  </w:num>
  <w:num w:numId="26">
    <w:abstractNumId w:val="25"/>
  </w:num>
  <w:num w:numId="27">
    <w:abstractNumId w:val="43"/>
  </w:num>
  <w:num w:numId="28">
    <w:abstractNumId w:val="29"/>
  </w:num>
  <w:num w:numId="29">
    <w:abstractNumId w:val="28"/>
  </w:num>
  <w:num w:numId="30">
    <w:abstractNumId w:val="5"/>
  </w:num>
  <w:num w:numId="31">
    <w:abstractNumId w:val="34"/>
  </w:num>
  <w:num w:numId="32">
    <w:abstractNumId w:val="16"/>
  </w:num>
  <w:num w:numId="33">
    <w:abstractNumId w:val="40"/>
  </w:num>
  <w:num w:numId="34">
    <w:abstractNumId w:val="22"/>
  </w:num>
  <w:num w:numId="35">
    <w:abstractNumId w:val="23"/>
  </w:num>
  <w:num w:numId="36">
    <w:abstractNumId w:val="38"/>
  </w:num>
  <w:num w:numId="37">
    <w:abstractNumId w:val="30"/>
  </w:num>
  <w:num w:numId="38">
    <w:abstractNumId w:val="26"/>
  </w:num>
  <w:num w:numId="39">
    <w:abstractNumId w:val="19"/>
  </w:num>
  <w:num w:numId="40">
    <w:abstractNumId w:val="18"/>
  </w:num>
  <w:num w:numId="41">
    <w:abstractNumId w:val="21"/>
  </w:num>
  <w:num w:numId="42">
    <w:abstractNumId w:val="11"/>
  </w:num>
  <w:num w:numId="43">
    <w:abstractNumId w:val="3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61B0A"/>
    <w:rsid w:val="00077A5F"/>
    <w:rsid w:val="000E75B9"/>
    <w:rsid w:val="000F054A"/>
    <w:rsid w:val="000F1A05"/>
    <w:rsid w:val="001818C8"/>
    <w:rsid w:val="001E5724"/>
    <w:rsid w:val="00242673"/>
    <w:rsid w:val="00285327"/>
    <w:rsid w:val="002A4E24"/>
    <w:rsid w:val="002A7568"/>
    <w:rsid w:val="00301128"/>
    <w:rsid w:val="00313A87"/>
    <w:rsid w:val="00322986"/>
    <w:rsid w:val="0034254B"/>
    <w:rsid w:val="0038665C"/>
    <w:rsid w:val="004070CF"/>
    <w:rsid w:val="005677F5"/>
    <w:rsid w:val="005A0378"/>
    <w:rsid w:val="005A5D79"/>
    <w:rsid w:val="005B7506"/>
    <w:rsid w:val="005E2BD0"/>
    <w:rsid w:val="00665621"/>
    <w:rsid w:val="006E4F82"/>
    <w:rsid w:val="006F64C9"/>
    <w:rsid w:val="007639A2"/>
    <w:rsid w:val="007C379D"/>
    <w:rsid w:val="007C62ED"/>
    <w:rsid w:val="007E39E3"/>
    <w:rsid w:val="007F1691"/>
    <w:rsid w:val="008128AD"/>
    <w:rsid w:val="00812C05"/>
    <w:rsid w:val="008560E2"/>
    <w:rsid w:val="00886EBF"/>
    <w:rsid w:val="00951F07"/>
    <w:rsid w:val="0096218C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CC0D70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2322"/>
    <w:rsid w:val="00FB77A1"/>
    <w:rsid w:val="00FC24B5"/>
    <w:rsid w:val="020B7729"/>
    <w:rsid w:val="032D64CB"/>
    <w:rsid w:val="08E94BE9"/>
    <w:rsid w:val="1F5901EA"/>
    <w:rsid w:val="24DE0BEE"/>
    <w:rsid w:val="2C385803"/>
    <w:rsid w:val="2FA10B21"/>
    <w:rsid w:val="34C108AA"/>
    <w:rsid w:val="37FD31FE"/>
    <w:rsid w:val="420F6274"/>
    <w:rsid w:val="4CF50B53"/>
    <w:rsid w:val="55FA250B"/>
    <w:rsid w:val="56D73167"/>
    <w:rsid w:val="59433257"/>
    <w:rsid w:val="6D38040D"/>
    <w:rsid w:val="6D903118"/>
    <w:rsid w:val="709A2664"/>
    <w:rsid w:val="7D3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65E5B"/>
  <w15:docId w15:val="{8D4B59B0-17D5-4369-83C3-E9CA54E6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6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Session">
    <w:name w:val="Session"/>
    <w:basedOn w:val="a"/>
    <w:rsid w:val="005B7506"/>
    <w:pPr>
      <w:tabs>
        <w:tab w:val="left" w:pos="720"/>
        <w:tab w:val="left" w:pos="1440"/>
        <w:tab w:val="left" w:pos="2160"/>
        <w:tab w:val="left" w:pos="2880"/>
      </w:tabs>
      <w:spacing w:after="240"/>
    </w:pPr>
    <w:rPr>
      <w:rFonts w:ascii="Times New Roman" w:eastAsia="宋体" w:hAnsi="Times New Roman" w:cs="Times New Roman"/>
      <w:b/>
      <w:snapToGrid w:val="0"/>
      <w:color w:val="000000" w:themeColor="text1"/>
      <w:kern w:val="0"/>
      <w:sz w:val="24"/>
      <w:szCs w:val="24"/>
    </w:rPr>
  </w:style>
  <w:style w:type="paragraph" w:customStyle="1" w:styleId="Readings">
    <w:name w:val="Readings"/>
    <w:basedOn w:val="a"/>
    <w:rsid w:val="005B7506"/>
    <w:pPr>
      <w:tabs>
        <w:tab w:val="left" w:pos="720"/>
        <w:tab w:val="left" w:pos="1440"/>
        <w:tab w:val="left" w:pos="2160"/>
        <w:tab w:val="left" w:pos="2880"/>
      </w:tabs>
      <w:jc w:val="left"/>
    </w:pPr>
    <w:rPr>
      <w:rFonts w:ascii="Garamond" w:eastAsia="Times New Roman" w:hAnsi="Garamond" w:cs="Times New Roman"/>
      <w:b/>
      <w:snapToGrid w:val="0"/>
      <w:kern w:val="0"/>
      <w:sz w:val="24"/>
      <w:szCs w:val="20"/>
    </w:rPr>
  </w:style>
  <w:style w:type="paragraph" w:styleId="ac">
    <w:name w:val="List Paragraph"/>
    <w:basedOn w:val="a"/>
    <w:uiPriority w:val="34"/>
    <w:qFormat/>
    <w:rsid w:val="005B7506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7F1691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734</Words>
  <Characters>4188</Characters>
  <Application>Microsoft Office Word</Application>
  <DocSecurity>0</DocSecurity>
  <Lines>34</Lines>
  <Paragraphs>9</Paragraphs>
  <ScaleCrop>false</ScaleCrop>
  <Company>P R C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Huang Yuxin</cp:lastModifiedBy>
  <cp:revision>2</cp:revision>
  <cp:lastPrinted>2020-12-24T15:17:00Z</cp:lastPrinted>
  <dcterms:created xsi:type="dcterms:W3CDTF">2023-08-19T11:40:00Z</dcterms:created>
  <dcterms:modified xsi:type="dcterms:W3CDTF">2023-08-19T11:40:00Z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